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>РЕПУБЛИКА СРБИЈА</w:t>
      </w: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ОПШТИНСКА УПРАВА ВЛАДИЧИН ХАН</w:t>
      </w: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ОДЕЉЕЊЕ ЗА ФИНАНСИЈЕ И </w:t>
      </w:r>
      <w:r>
        <w:rPr>
          <w:rFonts w:ascii="Times New Roman" w:hAnsi="Times New Roman" w:cs="Times New Roman"/>
          <w:sz w:val="22"/>
          <w:szCs w:val="22"/>
          <w:lang w:val="sr-Cyrl-CS"/>
        </w:rPr>
        <w:t>ПРИВРЕДУ</w:t>
      </w: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Број: </w:t>
      </w:r>
      <w:r w:rsidR="000D00D9">
        <w:rPr>
          <w:rFonts w:ascii="Times New Roman" w:hAnsi="Times New Roman" w:cs="Times New Roman"/>
          <w:sz w:val="22"/>
          <w:szCs w:val="22"/>
        </w:rPr>
        <w:t>422</w:t>
      </w:r>
      <w:r w:rsidRPr="00F5007A">
        <w:rPr>
          <w:rFonts w:ascii="Times New Roman" w:hAnsi="Times New Roman" w:cs="Times New Roman"/>
          <w:sz w:val="22"/>
          <w:szCs w:val="22"/>
        </w:rPr>
        <w:t>/2014</w:t>
      </w: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Датум: </w:t>
      </w:r>
      <w:r w:rsidR="000D00D9">
        <w:rPr>
          <w:rFonts w:ascii="Times New Roman" w:hAnsi="Times New Roman" w:cs="Times New Roman"/>
          <w:sz w:val="22"/>
          <w:szCs w:val="22"/>
        </w:rPr>
        <w:t>13</w:t>
      </w:r>
      <w:r w:rsidRPr="00F5007A">
        <w:rPr>
          <w:rFonts w:ascii="Times New Roman" w:hAnsi="Times New Roman" w:cs="Times New Roman"/>
          <w:sz w:val="22"/>
          <w:szCs w:val="22"/>
        </w:rPr>
        <w:t>.</w:t>
      </w:r>
      <w:r w:rsidR="000D00D9">
        <w:rPr>
          <w:rFonts w:ascii="Times New Roman" w:hAnsi="Times New Roman" w:cs="Times New Roman"/>
          <w:sz w:val="22"/>
          <w:szCs w:val="22"/>
        </w:rPr>
        <w:t>10</w:t>
      </w:r>
      <w:r w:rsidRPr="00F5007A">
        <w:rPr>
          <w:rFonts w:ascii="Times New Roman" w:hAnsi="Times New Roman" w:cs="Times New Roman"/>
          <w:sz w:val="22"/>
          <w:szCs w:val="22"/>
        </w:rPr>
        <w:t xml:space="preserve">.2014.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године</w:t>
      </w:r>
      <w:proofErr w:type="gramEnd"/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В Л А Д И Ч И Н   Х А Н</w:t>
      </w: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val="sr-Cyrl-CS"/>
        </w:rPr>
      </w:pPr>
    </w:p>
    <w:p w:rsidR="000D00D9" w:rsidRPr="000D00D9" w:rsidRDefault="000D00D9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val="sr-Cyrl-CS"/>
        </w:rPr>
      </w:pP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676970" w:rsidRPr="00676970" w:rsidRDefault="00676970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На основу члана 31.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члана 40.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 xml:space="preserve">Закона о буџетском систему </w:t>
      </w:r>
      <w:r w:rsidRPr="00F5007A">
        <w:rPr>
          <w:rFonts w:ascii="Times New Roman" w:hAnsi="Times New Roman" w:cs="Times New Roman"/>
          <w:sz w:val="24"/>
          <w:szCs w:val="24"/>
        </w:rPr>
        <w:t>(„Службени гласник РС,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4"/>
          <w:szCs w:val="24"/>
        </w:rPr>
        <w:t>бр.</w:t>
      </w:r>
      <w:proofErr w:type="gramEnd"/>
      <w:r w:rsidRPr="00F500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4"/>
          <w:szCs w:val="24"/>
        </w:rPr>
        <w:t>54/09, 73/10, 101/10, 101/11, 93/12, 62/13, 63/13-исправка и 108/13</w:t>
      </w:r>
      <w:r w:rsidRPr="00F5007A">
        <w:rPr>
          <w:rFonts w:ascii="Times New Roman" w:hAnsi="Times New Roman" w:cs="Times New Roman"/>
          <w:sz w:val="22"/>
          <w:szCs w:val="22"/>
        </w:rPr>
        <w:t>), и Фискалне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стратегије за 2014.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са пројекцијама за 2015.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2016.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, </w:t>
      </w:r>
      <w:r w:rsidR="000D00D9">
        <w:rPr>
          <w:rFonts w:ascii="Times New Roman" w:hAnsi="Times New Roman" w:cs="Times New Roman"/>
          <w:sz w:val="22"/>
          <w:szCs w:val="22"/>
          <w:lang w:val="sr-Cyrl-CS"/>
        </w:rPr>
        <w:t xml:space="preserve">као Упутства за израду програмског буџета Министарства финансија и листе униформних индикатора СКГО, </w:t>
      </w:r>
      <w:r w:rsidRPr="00F5007A">
        <w:rPr>
          <w:rFonts w:ascii="Times New Roman" w:hAnsi="Times New Roman" w:cs="Times New Roman"/>
          <w:sz w:val="22"/>
          <w:szCs w:val="22"/>
        </w:rPr>
        <w:t>Одељење за финансије и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привреду </w:t>
      </w:r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CS"/>
        </w:rPr>
        <w:t>Општин</w:t>
      </w:r>
      <w:r w:rsidRPr="00F5007A">
        <w:rPr>
          <w:rFonts w:ascii="Times New Roman" w:hAnsi="Times New Roman" w:cs="Times New Roman"/>
          <w:sz w:val="22"/>
          <w:szCs w:val="22"/>
        </w:rPr>
        <w:t xml:space="preserve">ске управе </w:t>
      </w:r>
      <w:r>
        <w:rPr>
          <w:rFonts w:ascii="Times New Roman" w:hAnsi="Times New Roman" w:cs="Times New Roman"/>
          <w:sz w:val="22"/>
          <w:szCs w:val="22"/>
          <w:lang w:val="sr-Cyrl-CS"/>
        </w:rPr>
        <w:t>Општине Владичин Хан</w:t>
      </w:r>
      <w:r w:rsidRPr="00F5007A">
        <w:rPr>
          <w:rFonts w:ascii="Times New Roman" w:hAnsi="Times New Roman" w:cs="Times New Roman"/>
          <w:sz w:val="22"/>
          <w:szCs w:val="22"/>
        </w:rPr>
        <w:t xml:space="preserve">, дана </w:t>
      </w:r>
      <w:r w:rsidR="000D00D9">
        <w:rPr>
          <w:rFonts w:ascii="Times New Roman" w:hAnsi="Times New Roman" w:cs="Times New Roman"/>
          <w:sz w:val="22"/>
          <w:szCs w:val="22"/>
          <w:lang w:val="sr-Cyrl-CS"/>
        </w:rPr>
        <w:t>13</w:t>
      </w:r>
      <w:r w:rsidRPr="00F5007A">
        <w:rPr>
          <w:rFonts w:ascii="Times New Roman" w:hAnsi="Times New Roman" w:cs="Times New Roman"/>
          <w:sz w:val="22"/>
          <w:szCs w:val="22"/>
        </w:rPr>
        <w:t>.</w:t>
      </w:r>
      <w:r w:rsidR="000D00D9">
        <w:rPr>
          <w:rFonts w:ascii="Times New Roman" w:hAnsi="Times New Roman" w:cs="Times New Roman"/>
          <w:sz w:val="22"/>
          <w:szCs w:val="22"/>
          <w:lang w:val="sr-Cyrl-CS"/>
        </w:rPr>
        <w:t>10</w:t>
      </w:r>
      <w:r w:rsidRPr="00F5007A">
        <w:rPr>
          <w:rFonts w:ascii="Times New Roman" w:hAnsi="Times New Roman" w:cs="Times New Roman"/>
          <w:sz w:val="22"/>
          <w:szCs w:val="22"/>
        </w:rPr>
        <w:t xml:space="preserve">.2014.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године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, доставља </w:t>
      </w:r>
      <w:r>
        <w:rPr>
          <w:rFonts w:ascii="Times New Roman" w:hAnsi="Times New Roman" w:cs="Times New Roman"/>
          <w:sz w:val="22"/>
          <w:szCs w:val="22"/>
          <w:lang w:val="sr-Cyrl-CS"/>
        </w:rPr>
        <w:t>корисницима буџета Општине Владичин Хан</w:t>
      </w:r>
      <w:r w:rsidRPr="00F5007A">
        <w:rPr>
          <w:rFonts w:ascii="Times New Roman" w:hAnsi="Times New Roman" w:cs="Times New Roman"/>
          <w:sz w:val="22"/>
          <w:szCs w:val="22"/>
        </w:rPr>
        <w:t>:</w:t>
      </w: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t>УПУТСТВО</w:t>
      </w: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ЗА ПРИПРЕМУ БУЏЕТА </w:t>
      </w: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ОПШТИНЕ ВЛАДИЧИН ХАН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 ЗА 2015.</w:t>
      </w:r>
      <w:proofErr w:type="gramEnd"/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>СА ПРОЈЕКЦИЈАМА ЗА 2016.</w:t>
      </w:r>
      <w:proofErr w:type="gramEnd"/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 И 2017.ГОДИНУ</w:t>
      </w: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t>УВОД</w:t>
      </w: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Овим Упутством се, у складу са Законом о буџетском систему и Фискалном стратегијом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за 2014.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са пројекцијама за 2015.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2016.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>, достављају корисницима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буџета Општине Владичин Хан</w:t>
      </w:r>
      <w:r w:rsidRPr="00F5007A">
        <w:rPr>
          <w:rFonts w:ascii="Times New Roman" w:hAnsi="Times New Roman" w:cs="Times New Roman"/>
          <w:sz w:val="22"/>
          <w:szCs w:val="22"/>
        </w:rPr>
        <w:t xml:space="preserve"> смернице, оквири и рокови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 xml:space="preserve">за припрему финансијских планова и захтева за средствима у буџету </w:t>
      </w:r>
      <w:r>
        <w:rPr>
          <w:rFonts w:ascii="Times New Roman" w:hAnsi="Times New Roman" w:cs="Times New Roman"/>
          <w:sz w:val="22"/>
          <w:szCs w:val="22"/>
          <w:lang w:val="sr-Cyrl-CS"/>
        </w:rPr>
        <w:t>Општине Владичин Хан</w:t>
      </w:r>
      <w:r w:rsidRPr="00F5007A">
        <w:rPr>
          <w:rFonts w:ascii="Times New Roman" w:hAnsi="Times New Roman" w:cs="Times New Roman"/>
          <w:sz w:val="22"/>
          <w:szCs w:val="22"/>
        </w:rPr>
        <w:t xml:space="preserve"> у 2015. </w:t>
      </w:r>
      <w:r w:rsidR="00026F9D">
        <w:rPr>
          <w:rFonts w:ascii="Times New Roman" w:hAnsi="Times New Roman" w:cs="Times New Roman"/>
          <w:sz w:val="22"/>
          <w:szCs w:val="22"/>
          <w:lang w:val="sr-Cyrl-CS"/>
        </w:rPr>
        <w:t>с</w:t>
      </w:r>
      <w:r w:rsidRPr="00F5007A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 xml:space="preserve">пројекцијама за 2016.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2017.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>.</w:t>
      </w: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val="sr-Cyrl-CS"/>
        </w:rPr>
      </w:pP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t>I ПРАВНИ ОСНОВ</w:t>
      </w:r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Поступак припреме и доношења буџета локалне власти уређен је Законом о буџетском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систему.</w:t>
      </w:r>
      <w:proofErr w:type="gramEnd"/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Рокови за доношење Фискалне стратегије и достављање Упутства за припрему одлуке о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буџету локалне власти, уређени су чланом 31.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Закона о буџетском систему, односно буџетским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календаром.</w:t>
      </w:r>
      <w:proofErr w:type="gramEnd"/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На основу члана 40.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Закона о буџетском систему, локални орган управе надлежан за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финансије доставља упутство за припрему нацрта буџета локалне власти и обавештава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директне кориснике буџетских средстава о основним економским претпоставкама и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смерницама за припрему буџета.</w:t>
      </w:r>
      <w:proofErr w:type="gramEnd"/>
    </w:p>
    <w:p w:rsid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У погледу садржине предлога финансијског плана директних корисника средстава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буџета сходно се примењују одредбе члана 37.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истог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Закона, односно предлог финансијског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плана обухвата:</w:t>
      </w:r>
    </w:p>
    <w:p w:rsidR="00754AD7" w:rsidRPr="00F5007A" w:rsidRDefault="00754AD7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1)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расходе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и издатке за трогодишњи период, исказане по буџетској класификацији;</w:t>
      </w:r>
    </w:p>
    <w:p w:rsid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2)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детаљно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писано образложење расхода и издатака, као и извора финансирања.</w:t>
      </w:r>
    </w:p>
    <w:p w:rsidR="00754AD7" w:rsidRPr="00F5007A" w:rsidRDefault="00754AD7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Директни корисници обавезни су да, у складу са смерницама и роковима, траже од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индиректних корисника за које су одговорни, да доставе податке неопходне за израду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предлога финансијског плана директног буџетског корисника.</w:t>
      </w:r>
      <w:proofErr w:type="gramEnd"/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Истим чланом је предвиђено и да локални орган управе надлежан за финансије може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да тражи непосредно од индиректних буџетских корисника податке о финансирању.</w:t>
      </w:r>
      <w:proofErr w:type="gramEnd"/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lastRenderedPageBreak/>
        <w:t>Чланом 41.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Закона о буџетском систему дефинисано је да су индиректни корисници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средстава буџета локалне власти обавезни да припреме предлог финансијског плана на основу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смерница које се односе на буџет локалне власти.</w:t>
      </w:r>
      <w:proofErr w:type="gramEnd"/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Чланом 112.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Закона о буџетском систему (прелазне и завршне одредбе) уређено је да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 xml:space="preserve">ће се одредбе овог Закона, у делу који се односи на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програмски део буџета</w:t>
      </w:r>
      <w:r w:rsidRPr="00F5007A">
        <w:rPr>
          <w:rFonts w:ascii="Times New Roman" w:hAnsi="Times New Roman" w:cs="Times New Roman"/>
          <w:sz w:val="22"/>
          <w:szCs w:val="22"/>
        </w:rPr>
        <w:t xml:space="preserve">,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примењивати</w:t>
      </w:r>
      <w:r w:rsidR="00754AD7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 xml:space="preserve">постепеним увођењем за поједине кориснике средстава буџета Републике Србије, а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у целини</w:t>
      </w:r>
      <w:r w:rsidR="00754AD7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од доношења </w:t>
      </w:r>
      <w:r w:rsidRPr="00F5007A">
        <w:rPr>
          <w:rFonts w:ascii="Times New Roman" w:hAnsi="Times New Roman" w:cs="Times New Roman"/>
          <w:sz w:val="22"/>
          <w:szCs w:val="22"/>
        </w:rPr>
        <w:t xml:space="preserve">Закона о буџету Републике Србије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и одлука локалне власти за 2015. </w:t>
      </w: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>.</w:t>
      </w:r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 xml:space="preserve">На сајту Министарства финансија објављено је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Упутство за припрему програмског</w:t>
      </w:r>
      <w:r w:rsidR="00754AD7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буџета </w:t>
      </w:r>
      <w:r w:rsidRPr="00F5007A">
        <w:rPr>
          <w:rFonts w:ascii="Times New Roman" w:hAnsi="Times New Roman" w:cs="Times New Roman"/>
          <w:sz w:val="22"/>
          <w:szCs w:val="22"/>
        </w:rPr>
        <w:t>за нови начин планирања и исказивања података у програмском буџету.</w:t>
      </w:r>
      <w:proofErr w:type="gramEnd"/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Директни корисници буџетских средстава су одговорни да упутство са одговарајућим</w:t>
      </w:r>
      <w:r w:rsidR="00754AD7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обрасцима доставе индиректним корисницима буџета у својој надлежности.</w:t>
      </w:r>
      <w:proofErr w:type="gramEnd"/>
    </w:p>
    <w:p w:rsidR="00754AD7" w:rsidRDefault="00754AD7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val="sr-Cyrl-CS"/>
        </w:rPr>
      </w:pPr>
    </w:p>
    <w:p w:rsidR="00754AD7" w:rsidRDefault="00754AD7" w:rsidP="0075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</w:p>
    <w:p w:rsidR="00F5007A" w:rsidRPr="00F5007A" w:rsidRDefault="00F5007A" w:rsidP="0075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t>II ОПШТИ ДЕО</w:t>
      </w:r>
    </w:p>
    <w:p w:rsidR="00F5007A" w:rsidRP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 xml:space="preserve">Упутство за припрему буџета </w:t>
      </w:r>
      <w:r w:rsidR="00441D11">
        <w:rPr>
          <w:rFonts w:ascii="Times New Roman" w:hAnsi="Times New Roman" w:cs="Times New Roman"/>
          <w:sz w:val="22"/>
          <w:szCs w:val="22"/>
          <w:lang w:val="sr-Cyrl-CS"/>
        </w:rPr>
        <w:t>Општине Владичин Хан</w:t>
      </w:r>
      <w:r w:rsidRPr="00F5007A">
        <w:rPr>
          <w:rFonts w:ascii="Times New Roman" w:hAnsi="Times New Roman" w:cs="Times New Roman"/>
          <w:sz w:val="22"/>
          <w:szCs w:val="22"/>
        </w:rPr>
        <w:t xml:space="preserve"> за 2015.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са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пројекцијама за 2016.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2017.</w:t>
      </w:r>
    </w:p>
    <w:p w:rsidR="00F5007A" w:rsidRP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садржи:</w:t>
      </w:r>
    </w:p>
    <w:p w:rsidR="00F5007A" w:rsidRP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1)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основне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економске претпоставке и смернице за припрему буџета за</w:t>
      </w:r>
      <w:r w:rsidR="00441D11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 xml:space="preserve">2015.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наредне две године,</w:t>
      </w:r>
    </w:p>
    <w:p w:rsidR="00F5007A" w:rsidRP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2)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опис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планиране политике локалне власти у 2015.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наредне две фискалне године,</w:t>
      </w:r>
    </w:p>
    <w:p w:rsidR="00F5007A" w:rsidRP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3)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процену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прихода и примања и расхода и издатака за 2015.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и наредне две</w:t>
      </w:r>
      <w:r w:rsidR="00441D11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>фискалне године,</w:t>
      </w:r>
    </w:p>
    <w:p w:rsidR="00F5007A" w:rsidRP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4)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обим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средстава који може да садржи предлог финансијског плана директног корисника</w:t>
      </w:r>
      <w:r w:rsidR="00441D11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sz w:val="22"/>
          <w:szCs w:val="22"/>
        </w:rPr>
        <w:t xml:space="preserve">средстава буџета за 2015.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са пројекцијама за наредне две фискалне године,</w:t>
      </w:r>
    </w:p>
    <w:p w:rsidR="00F5007A" w:rsidRP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5)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смернице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за припрему средњорочних планова директних корисника средстава буџета,</w:t>
      </w:r>
    </w:p>
    <w:p w:rsidR="00F5007A" w:rsidRP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007A">
        <w:rPr>
          <w:rFonts w:ascii="Times New Roman" w:hAnsi="Times New Roman" w:cs="Times New Roman"/>
          <w:sz w:val="22"/>
          <w:szCs w:val="22"/>
        </w:rPr>
        <w:t xml:space="preserve">6) </w:t>
      </w:r>
      <w:proofErr w:type="gramStart"/>
      <w:r w:rsidRPr="00F5007A">
        <w:rPr>
          <w:rFonts w:ascii="Times New Roman" w:hAnsi="Times New Roman" w:cs="Times New Roman"/>
          <w:sz w:val="22"/>
          <w:szCs w:val="22"/>
        </w:rPr>
        <w:t>поступак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и динамику припреме буџета </w:t>
      </w:r>
      <w:r w:rsidR="00441D11">
        <w:rPr>
          <w:rFonts w:ascii="Times New Roman" w:hAnsi="Times New Roman" w:cs="Times New Roman"/>
          <w:sz w:val="22"/>
          <w:szCs w:val="22"/>
          <w:lang w:val="sr-Cyrl-CS"/>
        </w:rPr>
        <w:t xml:space="preserve">Општине Владичин Хан </w:t>
      </w:r>
      <w:r w:rsidRPr="00F5007A">
        <w:rPr>
          <w:rFonts w:ascii="Times New Roman" w:hAnsi="Times New Roman" w:cs="Times New Roman"/>
          <w:sz w:val="22"/>
          <w:szCs w:val="22"/>
        </w:rPr>
        <w:t>и предлога финансијских</w:t>
      </w:r>
    </w:p>
    <w:p w:rsidR="00F5007A" w:rsidRDefault="00F5007A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proofErr w:type="gramStart"/>
      <w:r w:rsidRPr="00F5007A">
        <w:rPr>
          <w:rFonts w:ascii="Times New Roman" w:hAnsi="Times New Roman" w:cs="Times New Roman"/>
          <w:sz w:val="22"/>
          <w:szCs w:val="22"/>
        </w:rPr>
        <w:t>планова</w:t>
      </w:r>
      <w:proofErr w:type="gramEnd"/>
      <w:r w:rsidRPr="00F5007A">
        <w:rPr>
          <w:rFonts w:ascii="Times New Roman" w:hAnsi="Times New Roman" w:cs="Times New Roman"/>
          <w:sz w:val="22"/>
          <w:szCs w:val="22"/>
        </w:rPr>
        <w:t xml:space="preserve"> директних корисника средстава буџета.</w:t>
      </w:r>
    </w:p>
    <w:p w:rsidR="00441D11" w:rsidRDefault="00441D11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441D11" w:rsidRPr="00F5007A" w:rsidRDefault="00441D11" w:rsidP="0044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F5007A" w:rsidRPr="00676970" w:rsidRDefault="00F5007A" w:rsidP="0067697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676970">
        <w:rPr>
          <w:rFonts w:ascii="Times New Roman" w:hAnsi="Times New Roman" w:cs="Times New Roman"/>
          <w:b/>
          <w:bCs/>
          <w:sz w:val="22"/>
          <w:szCs w:val="22"/>
        </w:rPr>
        <w:t xml:space="preserve"> OСНОВНЕ ЕКОНОМСКЕ ПРЕТПОСТАВКЕ И СМЕРНИЦЕ ЗА ПРИПРЕМУ НАЦРТА БУЏЕТА </w:t>
      </w:r>
      <w:r w:rsidR="00865F1D" w:rsidRPr="0067697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ОПШТИНЕ ВЛАДИЧИН ХАН</w:t>
      </w:r>
    </w:p>
    <w:p w:rsidR="00865F1D" w:rsidRPr="00F5007A" w:rsidRDefault="00865F1D" w:rsidP="0044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  <w:u w:val="single"/>
        </w:rPr>
        <w:t>ЗА НАРЕДНУ ФИСКАЛНУ ГОДИНУ</w:t>
      </w:r>
    </w:p>
    <w:p w:rsidR="00457EFF" w:rsidRPr="00F5007A" w:rsidRDefault="00457EFF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</w:pPr>
    </w:p>
    <w:p w:rsidR="00F5007A" w:rsidRPr="00F5007A" w:rsidRDefault="00F5007A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Иако је дошло до кашњења у доношењу Фискалне стратегије за 2015.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>, основне</w:t>
      </w:r>
      <w:r w:rsidR="00457EFF" w:rsidRPr="00457EFF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смернице у овом Упутству дате су на основу члана 27е Закона о буџетском систему, Фискалне</w:t>
      </w:r>
      <w:r w:rsidR="00457EFF" w:rsidRPr="00457EFF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 xml:space="preserve">стратегије за 2014.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са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пројекцијама за 2015.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2016.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>, Упутства за припрему буџета</w:t>
      </w:r>
      <w:r w:rsidR="00457EFF" w:rsidRPr="00457EFF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 xml:space="preserve">локалне власти за 2014.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и пројекцијама за 2015.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2016.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и Упутства за припрему</w:t>
      </w:r>
      <w:r w:rsidR="00457EFF" w:rsidRPr="00457EFF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програмског буџета.</w:t>
      </w:r>
    </w:p>
    <w:p w:rsidR="00F5007A" w:rsidRPr="00F5007A" w:rsidRDefault="00F5007A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Фискална стратегија за 2014.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са пројекцијама за 2015.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2016.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(у даљем</w:t>
      </w:r>
      <w:r w:rsidR="00457EFF" w:rsidRPr="00457EFF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тексту Фискална стратегија) је документ средњорочног планирања буџета у који су укључене</w:t>
      </w:r>
      <w:r w:rsidR="00457EFF" w:rsidRPr="00457EFF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средњорочне анализе и пројекције републичког буџета, буџета општина и градова и</w:t>
      </w:r>
      <w:r w:rsidR="00457EFF" w:rsidRPr="00457EFF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ванбуџетских фондова и саставни је део планирања буџета за сваку наредну годину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457EFF" w:rsidRDefault="00457EFF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Default="00F5007A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t>Основни циљеви економске политике су:</w:t>
      </w:r>
    </w:p>
    <w:p w:rsidR="00551369" w:rsidRPr="00F5007A" w:rsidRDefault="00551369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C207E6" w:rsidRDefault="00F5007A" w:rsidP="00C207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07E6">
        <w:rPr>
          <w:rFonts w:ascii="Times New Roman" w:hAnsi="Times New Roman" w:cs="Times New Roman"/>
          <w:bCs/>
          <w:sz w:val="22"/>
          <w:szCs w:val="22"/>
        </w:rPr>
        <w:t>стабилизација дуга, након оштрог раста, и успостављање тренда његовог смањења;</w:t>
      </w:r>
    </w:p>
    <w:p w:rsidR="00F5007A" w:rsidRPr="00C207E6" w:rsidRDefault="00F5007A" w:rsidP="00C207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07E6">
        <w:rPr>
          <w:rFonts w:ascii="Times New Roman" w:hAnsi="Times New Roman" w:cs="Times New Roman"/>
          <w:bCs/>
          <w:sz w:val="22"/>
          <w:szCs w:val="22"/>
        </w:rPr>
        <w:t>подстицање привредног раста заснованог на инвестицијама и извозу;</w:t>
      </w:r>
    </w:p>
    <w:p w:rsidR="00F5007A" w:rsidRPr="00C207E6" w:rsidRDefault="00F5007A" w:rsidP="00C207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C207E6">
        <w:rPr>
          <w:rFonts w:ascii="Times New Roman" w:hAnsi="Times New Roman" w:cs="Times New Roman"/>
          <w:bCs/>
          <w:sz w:val="22"/>
          <w:szCs w:val="22"/>
        </w:rPr>
        <w:t>раст</w:t>
      </w:r>
      <w:proofErr w:type="gramEnd"/>
      <w:r w:rsidRPr="00C207E6">
        <w:rPr>
          <w:rFonts w:ascii="Times New Roman" w:hAnsi="Times New Roman" w:cs="Times New Roman"/>
          <w:bCs/>
          <w:sz w:val="22"/>
          <w:szCs w:val="22"/>
        </w:rPr>
        <w:t xml:space="preserve"> запослености и повећање животног стандарда након снажнијег покретања</w:t>
      </w:r>
      <w:r w:rsidR="00551369" w:rsidRPr="00C207E6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C207E6">
        <w:rPr>
          <w:rFonts w:ascii="Times New Roman" w:hAnsi="Times New Roman" w:cs="Times New Roman"/>
          <w:bCs/>
          <w:sz w:val="22"/>
          <w:szCs w:val="22"/>
        </w:rPr>
        <w:t>привредне активности.</w:t>
      </w:r>
    </w:p>
    <w:p w:rsidR="00551369" w:rsidRDefault="00551369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0D00D9" w:rsidRDefault="000D00D9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0D00D9" w:rsidRPr="00F5007A" w:rsidRDefault="000D00D9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551369" w:rsidRDefault="00551369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Default="00F5007A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lastRenderedPageBreak/>
        <w:t>Основни циљеви и приоритети фискалне политике у наредном периоду су:</w:t>
      </w:r>
    </w:p>
    <w:p w:rsidR="00551369" w:rsidRPr="00F5007A" w:rsidRDefault="00551369" w:rsidP="00457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C207E6" w:rsidRDefault="00F5007A" w:rsidP="00C207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07E6">
        <w:rPr>
          <w:rFonts w:ascii="Times New Roman" w:hAnsi="Times New Roman" w:cs="Times New Roman"/>
          <w:bCs/>
          <w:sz w:val="22"/>
          <w:szCs w:val="22"/>
        </w:rPr>
        <w:t>оснаживање удела јавних расхода, фискалног дефицита и јавног дуга у БДП;</w:t>
      </w:r>
    </w:p>
    <w:p w:rsidR="00F5007A" w:rsidRPr="00C207E6" w:rsidRDefault="00F5007A" w:rsidP="00C207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07E6">
        <w:rPr>
          <w:rFonts w:ascii="Times New Roman" w:hAnsi="Times New Roman" w:cs="Times New Roman"/>
          <w:bCs/>
          <w:sz w:val="22"/>
          <w:szCs w:val="22"/>
        </w:rPr>
        <w:t>јасна приоритизација капиталних/инвестиционих пројеката у којима ће држава имати</w:t>
      </w:r>
    </w:p>
    <w:p w:rsidR="00F5007A" w:rsidRPr="00A02D90" w:rsidRDefault="00F5007A" w:rsidP="00A02D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A02D90">
        <w:rPr>
          <w:rFonts w:ascii="Times New Roman" w:hAnsi="Times New Roman" w:cs="Times New Roman"/>
          <w:bCs/>
          <w:sz w:val="22"/>
          <w:szCs w:val="22"/>
        </w:rPr>
        <w:t>улогу</w:t>
      </w:r>
      <w:proofErr w:type="gramEnd"/>
      <w:r w:rsidRPr="00A02D90">
        <w:rPr>
          <w:rFonts w:ascii="Times New Roman" w:hAnsi="Times New Roman" w:cs="Times New Roman"/>
          <w:bCs/>
          <w:sz w:val="22"/>
          <w:szCs w:val="22"/>
        </w:rPr>
        <w:t xml:space="preserve"> инвеститора и превођење других таквих пројеката на модел концесионог</w:t>
      </w:r>
      <w:r w:rsidR="00C207E6" w:rsidRPr="00A02D9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A02D90">
        <w:rPr>
          <w:rFonts w:ascii="Times New Roman" w:hAnsi="Times New Roman" w:cs="Times New Roman"/>
          <w:bCs/>
          <w:sz w:val="22"/>
          <w:szCs w:val="22"/>
        </w:rPr>
        <w:t>финансирања и јавно-приватних партнерстава;</w:t>
      </w:r>
    </w:p>
    <w:p w:rsidR="00F5007A" w:rsidRPr="00C207E6" w:rsidRDefault="00F5007A" w:rsidP="00C207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07E6">
        <w:rPr>
          <w:rFonts w:ascii="Times New Roman" w:hAnsi="Times New Roman" w:cs="Times New Roman"/>
          <w:bCs/>
          <w:sz w:val="22"/>
          <w:szCs w:val="22"/>
        </w:rPr>
        <w:t>јачање пореске дисциплине која подразумева побољшање система наплате пореза и</w:t>
      </w:r>
      <w:r w:rsidR="00C207E6" w:rsidRPr="00C207E6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C207E6">
        <w:rPr>
          <w:rFonts w:ascii="Times New Roman" w:hAnsi="Times New Roman" w:cs="Times New Roman"/>
          <w:bCs/>
          <w:sz w:val="22"/>
          <w:szCs w:val="22"/>
        </w:rPr>
        <w:t>смањење сиве економије;</w:t>
      </w:r>
    </w:p>
    <w:p w:rsidR="00F5007A" w:rsidRPr="00C207E6" w:rsidRDefault="00F5007A" w:rsidP="00C207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07E6">
        <w:rPr>
          <w:rFonts w:ascii="Times New Roman" w:hAnsi="Times New Roman" w:cs="Times New Roman"/>
          <w:bCs/>
          <w:sz w:val="22"/>
          <w:szCs w:val="22"/>
        </w:rPr>
        <w:t>разматрање, у средњем року, постепеног пребацивања тежишта пореске политике са</w:t>
      </w:r>
      <w:r w:rsidR="00C207E6" w:rsidRPr="00C207E6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C207E6">
        <w:rPr>
          <w:rFonts w:ascii="Times New Roman" w:hAnsi="Times New Roman" w:cs="Times New Roman"/>
          <w:bCs/>
          <w:sz w:val="22"/>
          <w:szCs w:val="22"/>
        </w:rPr>
        <w:t>намета на рад на друге изворе пореских прихода, и то искључиво на начин који би са</w:t>
      </w:r>
      <w:r w:rsidR="00C207E6" w:rsidRPr="00C207E6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C207E6">
        <w:rPr>
          <w:rFonts w:ascii="Times New Roman" w:hAnsi="Times New Roman" w:cs="Times New Roman"/>
          <w:bCs/>
          <w:sz w:val="22"/>
          <w:szCs w:val="22"/>
        </w:rPr>
        <w:t>сигурношћу био најмање билансно неутралан;</w:t>
      </w:r>
    </w:p>
    <w:p w:rsidR="00F5007A" w:rsidRPr="00C207E6" w:rsidRDefault="00F5007A" w:rsidP="00C207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C207E6">
        <w:rPr>
          <w:rFonts w:ascii="Times New Roman" w:hAnsi="Times New Roman" w:cs="Times New Roman"/>
          <w:bCs/>
          <w:sz w:val="22"/>
          <w:szCs w:val="22"/>
        </w:rPr>
        <w:t>јачање</w:t>
      </w:r>
      <w:proofErr w:type="gramEnd"/>
      <w:r w:rsidRPr="00C207E6">
        <w:rPr>
          <w:rFonts w:ascii="Times New Roman" w:hAnsi="Times New Roman" w:cs="Times New Roman"/>
          <w:bCs/>
          <w:sz w:val="22"/>
          <w:szCs w:val="22"/>
        </w:rPr>
        <w:t xml:space="preserve"> дугорочне фискалне одрживости кроз спровођење структурних реформи,</w:t>
      </w:r>
      <w:r w:rsidR="00C207E6" w:rsidRPr="00C207E6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C207E6">
        <w:rPr>
          <w:rFonts w:ascii="Times New Roman" w:hAnsi="Times New Roman" w:cs="Times New Roman"/>
          <w:bCs/>
          <w:sz w:val="22"/>
          <w:szCs w:val="22"/>
        </w:rPr>
        <w:t>посебно реформи јавног сектора.</w:t>
      </w:r>
    </w:p>
    <w:p w:rsidR="00C207E6" w:rsidRDefault="00C207E6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Default="00F5007A" w:rsidP="00C20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>У даљем тексту дајемо преглед појединих макроекономских показатеља који су од</w:t>
      </w:r>
      <w:r w:rsidR="00C207E6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значаја за израду Буџета </w:t>
      </w:r>
      <w:r w:rsidR="00C207E6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Општине Владичин Хан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 за 2015.</w:t>
      </w:r>
      <w:proofErr w:type="gramEnd"/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 наредне две фискалне године.</w:t>
      </w:r>
    </w:p>
    <w:p w:rsidR="00C207E6" w:rsidRDefault="00C207E6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C207E6" w:rsidRPr="00F5007A" w:rsidRDefault="00C207E6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Табела: Пројекција основних макроекономских показатеља Републике Србије у периоду 2013</w:t>
      </w:r>
    </w:p>
    <w:p w:rsid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– 2016. </w:t>
      </w:r>
      <w:r w:rsidR="00F244A3"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</w:t>
      </w:r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одине</w:t>
      </w:r>
    </w:p>
    <w:tbl>
      <w:tblPr>
        <w:tblStyle w:val="TableGrid"/>
        <w:tblW w:w="0" w:type="auto"/>
        <w:tblLook w:val="04A0"/>
      </w:tblPr>
      <w:tblGrid>
        <w:gridCol w:w="4428"/>
        <w:gridCol w:w="1170"/>
        <w:gridCol w:w="1440"/>
        <w:gridCol w:w="1430"/>
        <w:gridCol w:w="1108"/>
      </w:tblGrid>
      <w:tr w:rsidR="00560FFC" w:rsidTr="00293751">
        <w:tc>
          <w:tcPr>
            <w:tcW w:w="4428" w:type="dxa"/>
          </w:tcPr>
          <w:p w:rsidR="00560FFC" w:rsidRDefault="00560FFC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170" w:type="dxa"/>
          </w:tcPr>
          <w:p w:rsidR="00560FFC" w:rsidRDefault="00560FFC" w:rsidP="00293751">
            <w:pPr>
              <w:jc w:val="center"/>
            </w:pPr>
            <w:r w:rsidRPr="003D5CE9">
              <w:rPr>
                <w:rFonts w:ascii="Calibri" w:hAnsi="Calibri" w:cs="Calibri"/>
                <w:sz w:val="22"/>
                <w:szCs w:val="22"/>
              </w:rPr>
              <w:t>Процена</w:t>
            </w:r>
          </w:p>
        </w:tc>
        <w:tc>
          <w:tcPr>
            <w:tcW w:w="3978" w:type="dxa"/>
            <w:gridSpan w:val="3"/>
          </w:tcPr>
          <w:p w:rsidR="00560FFC" w:rsidRDefault="00560FFC" w:rsidP="00560FFC">
            <w:pPr>
              <w:jc w:val="center"/>
            </w:pPr>
            <w:r w:rsidRPr="003D5CE9">
              <w:rPr>
                <w:rFonts w:ascii="Calibri" w:hAnsi="Calibri" w:cs="Calibri"/>
                <w:sz w:val="22"/>
                <w:szCs w:val="22"/>
              </w:rPr>
              <w:t>ПРОЈЕКЦИЈА</w:t>
            </w:r>
          </w:p>
        </w:tc>
      </w:tr>
      <w:tr w:rsidR="00293751" w:rsidTr="00293751">
        <w:tc>
          <w:tcPr>
            <w:tcW w:w="4428" w:type="dxa"/>
          </w:tcPr>
          <w:p w:rsidR="00293751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170" w:type="dxa"/>
          </w:tcPr>
          <w:p w:rsidR="00293751" w:rsidRDefault="00293751" w:rsidP="00293751">
            <w:pPr>
              <w:jc w:val="center"/>
            </w:pPr>
            <w:r w:rsidRPr="0009113C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  <w:tc>
          <w:tcPr>
            <w:tcW w:w="1440" w:type="dxa"/>
          </w:tcPr>
          <w:p w:rsidR="00293751" w:rsidRDefault="00293751" w:rsidP="00293751">
            <w:pPr>
              <w:jc w:val="center"/>
            </w:pPr>
            <w:r w:rsidRPr="0009113C">
              <w:rPr>
                <w:rFonts w:ascii="Calibri" w:hAnsi="Calibri" w:cs="Calibri"/>
                <w:sz w:val="22"/>
                <w:szCs w:val="22"/>
              </w:rPr>
              <w:t>2014</w:t>
            </w:r>
          </w:p>
        </w:tc>
        <w:tc>
          <w:tcPr>
            <w:tcW w:w="1430" w:type="dxa"/>
          </w:tcPr>
          <w:p w:rsidR="00293751" w:rsidRDefault="00293751" w:rsidP="00293751">
            <w:pPr>
              <w:jc w:val="center"/>
            </w:pPr>
            <w:r w:rsidRPr="0009113C">
              <w:rPr>
                <w:rFonts w:ascii="Calibri" w:hAnsi="Calibri" w:cs="Calibri"/>
                <w:sz w:val="22"/>
                <w:szCs w:val="22"/>
              </w:rPr>
              <w:t>2015</w:t>
            </w:r>
          </w:p>
        </w:tc>
        <w:tc>
          <w:tcPr>
            <w:tcW w:w="1108" w:type="dxa"/>
          </w:tcPr>
          <w:p w:rsidR="00293751" w:rsidRDefault="00293751" w:rsidP="00293751">
            <w:pPr>
              <w:jc w:val="center"/>
            </w:pPr>
            <w:r w:rsidRPr="0009113C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БДП, мил. динара (текуће цене)</w:t>
            </w:r>
          </w:p>
        </w:tc>
        <w:tc>
          <w:tcPr>
            <w:tcW w:w="1170" w:type="dxa"/>
          </w:tcPr>
          <w:p w:rsidR="00DD221E" w:rsidRDefault="00293751" w:rsidP="002937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3.761.289</w:t>
            </w:r>
          </w:p>
        </w:tc>
        <w:tc>
          <w:tcPr>
            <w:tcW w:w="1440" w:type="dxa"/>
          </w:tcPr>
          <w:p w:rsidR="00DD221E" w:rsidRDefault="00293751" w:rsidP="002937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4.007.841</w:t>
            </w:r>
          </w:p>
        </w:tc>
        <w:tc>
          <w:tcPr>
            <w:tcW w:w="1430" w:type="dxa"/>
          </w:tcPr>
          <w:p w:rsidR="00DD221E" w:rsidRDefault="00293751" w:rsidP="002937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4.292.142</w:t>
            </w:r>
          </w:p>
        </w:tc>
        <w:tc>
          <w:tcPr>
            <w:tcW w:w="1108" w:type="dxa"/>
          </w:tcPr>
          <w:p w:rsidR="00DD221E" w:rsidRDefault="00293751" w:rsidP="002937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4.583.750</w:t>
            </w:r>
          </w:p>
        </w:tc>
      </w:tr>
      <w:tr w:rsidR="00E47393" w:rsidTr="00293751">
        <w:tc>
          <w:tcPr>
            <w:tcW w:w="4428" w:type="dxa"/>
          </w:tcPr>
          <w:p w:rsidR="00E47393" w:rsidRPr="00D51341" w:rsidRDefault="00E47393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Calibri" w:hAnsi="Calibri" w:cs="Calibri"/>
                <w:b/>
                <w:sz w:val="22"/>
                <w:szCs w:val="22"/>
              </w:rPr>
              <w:t>Реални раст БДП</w:t>
            </w:r>
          </w:p>
        </w:tc>
        <w:tc>
          <w:tcPr>
            <w:tcW w:w="1170" w:type="dxa"/>
          </w:tcPr>
          <w:p w:rsidR="00E47393" w:rsidRPr="00D51341" w:rsidRDefault="00E47393" w:rsidP="00E47393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D51341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D5134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,0</w:t>
            </w:r>
          </w:p>
        </w:tc>
        <w:tc>
          <w:tcPr>
            <w:tcW w:w="1440" w:type="dxa"/>
          </w:tcPr>
          <w:p w:rsidR="00E47393" w:rsidRPr="00D51341" w:rsidRDefault="00E47393" w:rsidP="00E47393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D5134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1,0</w:t>
            </w:r>
          </w:p>
        </w:tc>
        <w:tc>
          <w:tcPr>
            <w:tcW w:w="1430" w:type="dxa"/>
          </w:tcPr>
          <w:p w:rsidR="00E47393" w:rsidRPr="00D51341" w:rsidRDefault="00E47393" w:rsidP="00E47393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D5134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1,8</w:t>
            </w:r>
          </w:p>
        </w:tc>
        <w:tc>
          <w:tcPr>
            <w:tcW w:w="1108" w:type="dxa"/>
          </w:tcPr>
          <w:p w:rsidR="00E47393" w:rsidRPr="00D51341" w:rsidRDefault="00E47393" w:rsidP="00E47393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D5134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2,0</w:t>
            </w: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Реални раст појединих компоненти БДП, %</w:t>
            </w:r>
          </w:p>
        </w:tc>
        <w:tc>
          <w:tcPr>
            <w:tcW w:w="1170" w:type="dxa"/>
          </w:tcPr>
          <w:p w:rsidR="00DD221E" w:rsidRDefault="00DD221E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</w:tcPr>
          <w:p w:rsidR="00DD221E" w:rsidRDefault="00DD221E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430" w:type="dxa"/>
          </w:tcPr>
          <w:p w:rsidR="00DD221E" w:rsidRDefault="00DD221E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108" w:type="dxa"/>
          </w:tcPr>
          <w:p w:rsidR="00DD221E" w:rsidRDefault="00DD221E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Лична потрошња</w:t>
            </w:r>
          </w:p>
        </w:tc>
        <w:tc>
          <w:tcPr>
            <w:tcW w:w="1170" w:type="dxa"/>
          </w:tcPr>
          <w:p w:rsidR="00DD221E" w:rsidRPr="00D51341" w:rsidRDefault="00E47393" w:rsidP="00E47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-1,2</w:t>
            </w:r>
          </w:p>
        </w:tc>
        <w:tc>
          <w:tcPr>
            <w:tcW w:w="1440" w:type="dxa"/>
          </w:tcPr>
          <w:p w:rsidR="00DD221E" w:rsidRPr="00D51341" w:rsidRDefault="00E47393" w:rsidP="00E47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-1,8</w:t>
            </w:r>
          </w:p>
        </w:tc>
        <w:tc>
          <w:tcPr>
            <w:tcW w:w="1430" w:type="dxa"/>
          </w:tcPr>
          <w:p w:rsidR="00DD221E" w:rsidRPr="00D51341" w:rsidRDefault="00E47393" w:rsidP="00E47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-0,6</w:t>
            </w:r>
          </w:p>
        </w:tc>
        <w:tc>
          <w:tcPr>
            <w:tcW w:w="1108" w:type="dxa"/>
          </w:tcPr>
          <w:p w:rsidR="00DD221E" w:rsidRPr="00D51341" w:rsidRDefault="00E47393" w:rsidP="00E47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-0,3</w:t>
            </w: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Државна потрошња</w:t>
            </w:r>
          </w:p>
        </w:tc>
        <w:tc>
          <w:tcPr>
            <w:tcW w:w="1170" w:type="dxa"/>
          </w:tcPr>
          <w:p w:rsidR="00DD221E" w:rsidRPr="00D51341" w:rsidRDefault="00E47393" w:rsidP="00E47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-3,0</w:t>
            </w:r>
          </w:p>
        </w:tc>
        <w:tc>
          <w:tcPr>
            <w:tcW w:w="1440" w:type="dxa"/>
          </w:tcPr>
          <w:p w:rsidR="00DD221E" w:rsidRPr="00D51341" w:rsidRDefault="00E47393" w:rsidP="00E47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-2,2</w:t>
            </w:r>
          </w:p>
        </w:tc>
        <w:tc>
          <w:tcPr>
            <w:tcW w:w="1430" w:type="dxa"/>
          </w:tcPr>
          <w:p w:rsidR="00DD221E" w:rsidRPr="00D51341" w:rsidRDefault="00E47393" w:rsidP="00E47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-4,4</w:t>
            </w:r>
          </w:p>
        </w:tc>
        <w:tc>
          <w:tcPr>
            <w:tcW w:w="1108" w:type="dxa"/>
          </w:tcPr>
          <w:p w:rsidR="00DD221E" w:rsidRPr="00D51341" w:rsidRDefault="00E47393" w:rsidP="00E47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-3,6</w:t>
            </w: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Инвестиције</w:t>
            </w:r>
          </w:p>
        </w:tc>
        <w:tc>
          <w:tcPr>
            <w:tcW w:w="117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-3,4</w:t>
            </w:r>
          </w:p>
        </w:tc>
        <w:tc>
          <w:tcPr>
            <w:tcW w:w="144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4,7</w:t>
            </w:r>
          </w:p>
        </w:tc>
        <w:tc>
          <w:tcPr>
            <w:tcW w:w="143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9,6</w:t>
            </w:r>
          </w:p>
        </w:tc>
        <w:tc>
          <w:tcPr>
            <w:tcW w:w="1108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8,9</w:t>
            </w: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Извоз робе и услуга</w:t>
            </w:r>
          </w:p>
        </w:tc>
        <w:tc>
          <w:tcPr>
            <w:tcW w:w="117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14,0</w:t>
            </w:r>
          </w:p>
        </w:tc>
        <w:tc>
          <w:tcPr>
            <w:tcW w:w="144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6,4</w:t>
            </w:r>
          </w:p>
        </w:tc>
        <w:tc>
          <w:tcPr>
            <w:tcW w:w="143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7,0</w:t>
            </w:r>
          </w:p>
        </w:tc>
        <w:tc>
          <w:tcPr>
            <w:tcW w:w="1108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7,7</w:t>
            </w: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Увоз робе и услуга</w:t>
            </w:r>
          </w:p>
        </w:tc>
        <w:tc>
          <w:tcPr>
            <w:tcW w:w="117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2,3</w:t>
            </w:r>
          </w:p>
        </w:tc>
        <w:tc>
          <w:tcPr>
            <w:tcW w:w="144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1,6</w:t>
            </w:r>
          </w:p>
        </w:tc>
        <w:tc>
          <w:tcPr>
            <w:tcW w:w="143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3,5</w:t>
            </w:r>
          </w:p>
        </w:tc>
        <w:tc>
          <w:tcPr>
            <w:tcW w:w="1108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4,6</w:t>
            </w: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Салдо робе и услуга, у ЕУР, % БДП</w:t>
            </w:r>
          </w:p>
        </w:tc>
        <w:tc>
          <w:tcPr>
            <w:tcW w:w="117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-11,9</w:t>
            </w:r>
          </w:p>
        </w:tc>
        <w:tc>
          <w:tcPr>
            <w:tcW w:w="144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-10,0</w:t>
            </w:r>
          </w:p>
        </w:tc>
        <w:tc>
          <w:tcPr>
            <w:tcW w:w="143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-8,6</w:t>
            </w:r>
          </w:p>
        </w:tc>
        <w:tc>
          <w:tcPr>
            <w:tcW w:w="1108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-7,4</w:t>
            </w:r>
          </w:p>
        </w:tc>
      </w:tr>
      <w:tr w:rsidR="00DD221E" w:rsidTr="00293751">
        <w:tc>
          <w:tcPr>
            <w:tcW w:w="4428" w:type="dxa"/>
          </w:tcPr>
          <w:p w:rsidR="00DD221E" w:rsidRPr="00D51341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Calibri" w:hAnsi="Calibri" w:cs="Calibri"/>
                <w:b/>
                <w:sz w:val="22"/>
                <w:szCs w:val="22"/>
              </w:rPr>
              <w:t>Инфлација, крај периода, у %</w:t>
            </w:r>
          </w:p>
        </w:tc>
        <w:tc>
          <w:tcPr>
            <w:tcW w:w="1170" w:type="dxa"/>
          </w:tcPr>
          <w:p w:rsidR="00DD221E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  <w:t>5,5</w:t>
            </w:r>
          </w:p>
        </w:tc>
        <w:tc>
          <w:tcPr>
            <w:tcW w:w="1440" w:type="dxa"/>
          </w:tcPr>
          <w:p w:rsidR="00DD221E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  <w:t>5,5</w:t>
            </w:r>
          </w:p>
        </w:tc>
        <w:tc>
          <w:tcPr>
            <w:tcW w:w="1430" w:type="dxa"/>
          </w:tcPr>
          <w:p w:rsidR="00DD221E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  <w:t>5,0</w:t>
            </w:r>
          </w:p>
        </w:tc>
        <w:tc>
          <w:tcPr>
            <w:tcW w:w="1108" w:type="dxa"/>
          </w:tcPr>
          <w:p w:rsidR="00DD221E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  <w:t>4,5</w:t>
            </w:r>
          </w:p>
        </w:tc>
      </w:tr>
      <w:tr w:rsidR="00DD221E" w:rsidTr="00293751">
        <w:tc>
          <w:tcPr>
            <w:tcW w:w="4428" w:type="dxa"/>
          </w:tcPr>
          <w:p w:rsidR="00DD221E" w:rsidRDefault="00293751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Инвестициони рацио, % БДП</w:t>
            </w:r>
          </w:p>
        </w:tc>
        <w:tc>
          <w:tcPr>
            <w:tcW w:w="117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19,1</w:t>
            </w:r>
          </w:p>
        </w:tc>
        <w:tc>
          <w:tcPr>
            <w:tcW w:w="144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20,0</w:t>
            </w:r>
          </w:p>
        </w:tc>
        <w:tc>
          <w:tcPr>
            <w:tcW w:w="1430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21,4</w:t>
            </w:r>
          </w:p>
        </w:tc>
        <w:tc>
          <w:tcPr>
            <w:tcW w:w="1108" w:type="dxa"/>
          </w:tcPr>
          <w:p w:rsidR="00DD221E" w:rsidRPr="00D51341" w:rsidRDefault="00FC2A14" w:rsidP="00FC2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</w:pPr>
            <w:r w:rsidRPr="00D513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sr-Cyrl-CS"/>
              </w:rPr>
              <w:t>22,7</w:t>
            </w:r>
          </w:p>
        </w:tc>
      </w:tr>
    </w:tbl>
    <w:p w:rsidR="00F244A3" w:rsidRPr="00F5007A" w:rsidRDefault="00F244A3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</w:pPr>
    </w:p>
    <w:p w:rsidR="00F5007A" w:rsidRPr="00F5007A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5007A">
        <w:rPr>
          <w:rFonts w:ascii="Times New Roman" w:hAnsi="Times New Roman" w:cs="Times New Roman"/>
          <w:b/>
          <w:bCs/>
        </w:rPr>
        <w:t xml:space="preserve">Извор: Фискална стратегија за 2014. </w:t>
      </w:r>
      <w:proofErr w:type="gramStart"/>
      <w:r w:rsidRPr="00F5007A">
        <w:rPr>
          <w:rFonts w:ascii="Times New Roman" w:hAnsi="Times New Roman" w:cs="Times New Roman"/>
          <w:b/>
          <w:bCs/>
        </w:rPr>
        <w:t>са</w:t>
      </w:r>
      <w:proofErr w:type="gramEnd"/>
      <w:r w:rsidRPr="00F5007A">
        <w:rPr>
          <w:rFonts w:ascii="Times New Roman" w:hAnsi="Times New Roman" w:cs="Times New Roman"/>
          <w:b/>
          <w:bCs/>
        </w:rPr>
        <w:t xml:space="preserve"> пројекцијама за 2015. </w:t>
      </w:r>
      <w:proofErr w:type="gramStart"/>
      <w:r w:rsidRPr="00F5007A">
        <w:rPr>
          <w:rFonts w:ascii="Times New Roman" w:hAnsi="Times New Roman" w:cs="Times New Roman"/>
          <w:b/>
          <w:bCs/>
        </w:rPr>
        <w:t>и</w:t>
      </w:r>
      <w:proofErr w:type="gramEnd"/>
      <w:r w:rsidRPr="00F5007A">
        <w:rPr>
          <w:rFonts w:ascii="Times New Roman" w:hAnsi="Times New Roman" w:cs="Times New Roman"/>
          <w:b/>
          <w:bCs/>
        </w:rPr>
        <w:t xml:space="preserve"> 2016. </w:t>
      </w:r>
      <w:proofErr w:type="gramStart"/>
      <w:r w:rsidRPr="00F5007A">
        <w:rPr>
          <w:rFonts w:ascii="Times New Roman" w:hAnsi="Times New Roman" w:cs="Times New Roman"/>
          <w:b/>
          <w:bCs/>
        </w:rPr>
        <w:t>годину</w:t>
      </w:r>
      <w:proofErr w:type="gramEnd"/>
      <w:r w:rsidRPr="00F5007A">
        <w:rPr>
          <w:rFonts w:ascii="Times New Roman" w:hAnsi="Times New Roman" w:cs="Times New Roman"/>
          <w:b/>
          <w:bCs/>
        </w:rPr>
        <w:t xml:space="preserve"> - МФИН</w:t>
      </w:r>
    </w:p>
    <w:p w:rsidR="00F244A3" w:rsidRDefault="00F244A3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244A3" w:rsidRDefault="00F244A3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F5007A" w:rsidRDefault="00F5007A" w:rsidP="00D5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t>НАПОМЕНА: Обзиром да се доношење Фискалне стратегије и Упутства за припрему</w:t>
      </w:r>
      <w:r w:rsidR="00D5134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буџета локалне власти за 2015. </w:t>
      </w: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 наредне две године очекује у наредном периоду, уколико се</w:t>
      </w:r>
      <w:r w:rsidR="00D5134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догоди да дође до одступања у величинама наведених параметара, у даљем поступку</w:t>
      </w:r>
      <w:r w:rsidR="00D5134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припреме буџета наведене пројекције макроекономских показатеља биће усаглашене. У</w:t>
      </w:r>
      <w:r w:rsidR="00D5134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складу са истим, корисници буџетских средстава биће благовремено обавештени како би</w:t>
      </w:r>
      <w:r w:rsidR="00D5134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извршили неопходне корекције у предлозима финансијских планова за 2015. </w:t>
      </w: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b/>
          <w:bCs/>
          <w:sz w:val="22"/>
          <w:szCs w:val="22"/>
        </w:rPr>
        <w:t xml:space="preserve"> наредне две</w:t>
      </w:r>
      <w:r w:rsidR="00D51341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године.</w:t>
      </w:r>
    </w:p>
    <w:p w:rsidR="00D51341" w:rsidRDefault="00D51341" w:rsidP="00D5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D51341" w:rsidRDefault="00D51341" w:rsidP="00D5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0D00D9" w:rsidRDefault="000D00D9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0D00D9" w:rsidRDefault="000D00D9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0D00D9" w:rsidRDefault="000D00D9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0D00D9" w:rsidRDefault="000D00D9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F5007A" w:rsidRDefault="00D51341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lastRenderedPageBreak/>
        <w:t>БРУТО ДРУШТВЕНИ ПРОИЗВОД</w:t>
      </w:r>
    </w:p>
    <w:p w:rsidR="00F5007A" w:rsidRPr="00F5007A" w:rsidRDefault="00F5007A" w:rsidP="00FC4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Имајући у виду глобална економска кретања и планиране активности у Републици</w:t>
      </w:r>
      <w:r w:rsidR="00FC40E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Србији, пројектована стопа реалног раста БДП-а за 2015.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је 1,8%.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У 2016.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C40E2">
        <w:rPr>
          <w:rFonts w:ascii="Times New Roman" w:hAnsi="Times New Roman" w:cs="Times New Roman"/>
          <w:bCs/>
          <w:sz w:val="22"/>
          <w:szCs w:val="22"/>
          <w:lang w:val="sr-Cyrl-CS"/>
        </w:rPr>
        <w:t>г</w:t>
      </w:r>
      <w:r w:rsidRPr="00F5007A">
        <w:rPr>
          <w:rFonts w:ascii="Times New Roman" w:hAnsi="Times New Roman" w:cs="Times New Roman"/>
          <w:bCs/>
          <w:sz w:val="22"/>
          <w:szCs w:val="22"/>
        </w:rPr>
        <w:t>одини</w:t>
      </w:r>
      <w:r w:rsidR="00FC40E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 xml:space="preserve">пројектована стопа реалног раста БДП-а је 2,0%. </w:t>
      </w:r>
      <w:proofErr w:type="gramStart"/>
      <w:r w:rsidRPr="00F5007A">
        <w:rPr>
          <w:rFonts w:ascii="Times New Roman" w:hAnsi="Times New Roman" w:cs="Times New Roman"/>
          <w:bCs/>
          <w:sz w:val="24"/>
          <w:szCs w:val="24"/>
        </w:rPr>
        <w:t>Раст БДП у 2015.</w:t>
      </w:r>
      <w:proofErr w:type="gramEnd"/>
      <w:r w:rsidRPr="00F500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5007A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F5007A">
        <w:rPr>
          <w:rFonts w:ascii="Times New Roman" w:hAnsi="Times New Roman" w:cs="Times New Roman"/>
          <w:bCs/>
          <w:sz w:val="24"/>
          <w:szCs w:val="24"/>
        </w:rPr>
        <w:t xml:space="preserve"> 2016. </w:t>
      </w:r>
      <w:proofErr w:type="gramStart"/>
      <w:r w:rsidRPr="00F5007A">
        <w:rPr>
          <w:rFonts w:ascii="Times New Roman" w:hAnsi="Times New Roman" w:cs="Times New Roman"/>
          <w:bCs/>
          <w:sz w:val="24"/>
          <w:szCs w:val="24"/>
        </w:rPr>
        <w:t>години</w:t>
      </w:r>
      <w:proofErr w:type="gramEnd"/>
      <w:r w:rsidRPr="00F5007A">
        <w:rPr>
          <w:rFonts w:ascii="Times New Roman" w:hAnsi="Times New Roman" w:cs="Times New Roman"/>
          <w:bCs/>
          <w:sz w:val="24"/>
          <w:szCs w:val="24"/>
        </w:rPr>
        <w:t xml:space="preserve"> заснован је</w:t>
      </w:r>
      <w:r w:rsidR="00D51341" w:rsidRPr="00AD44D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4"/>
          <w:szCs w:val="24"/>
        </w:rPr>
        <w:t>пре свега, на расту инвестиционе потрошње.</w:t>
      </w:r>
    </w:p>
    <w:p w:rsidR="007F26CC" w:rsidRDefault="007F26CC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F5007A" w:rsidRDefault="00D51341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ИНФЛАЦИЈА</w:t>
      </w:r>
    </w:p>
    <w:p w:rsidR="00F5007A" w:rsidRPr="00F5007A" w:rsidRDefault="00F5007A" w:rsidP="00D5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Процењена годишња стопа инфлације за 2015.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износи 5,0%, а за 2016. </w:t>
      </w:r>
      <w:r w:rsidR="00FC40E2">
        <w:rPr>
          <w:rFonts w:ascii="Times New Roman" w:hAnsi="Times New Roman" w:cs="Times New Roman"/>
          <w:bCs/>
          <w:sz w:val="22"/>
          <w:szCs w:val="22"/>
          <w:lang w:val="sr-Cyrl-CS"/>
        </w:rPr>
        <w:t>г</w:t>
      </w:r>
      <w:r w:rsidRPr="00F5007A">
        <w:rPr>
          <w:rFonts w:ascii="Times New Roman" w:hAnsi="Times New Roman" w:cs="Times New Roman"/>
          <w:bCs/>
          <w:sz w:val="22"/>
          <w:szCs w:val="22"/>
        </w:rPr>
        <w:t>одину</w:t>
      </w:r>
      <w:r w:rsidR="00D51341" w:rsidRP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4,5%.</w:t>
      </w:r>
    </w:p>
    <w:p w:rsidR="00F5007A" w:rsidRPr="00F5007A" w:rsidRDefault="00F5007A" w:rsidP="00D5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5007A">
        <w:rPr>
          <w:rFonts w:ascii="Times New Roman" w:hAnsi="Times New Roman" w:cs="Times New Roman"/>
          <w:bCs/>
          <w:sz w:val="24"/>
          <w:szCs w:val="24"/>
        </w:rPr>
        <w:t>Спровођење мера фискалне политике и побољшање пословног и инвестиционог</w:t>
      </w:r>
      <w:r w:rsidR="00D51341" w:rsidRPr="00AD44D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4"/>
          <w:szCs w:val="24"/>
        </w:rPr>
        <w:t>окружења омогућиће стварање основе за стабилан и одржив раст у наредним</w:t>
      </w:r>
      <w:r w:rsidR="00D51341" w:rsidRPr="00AD44D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4"/>
          <w:szCs w:val="24"/>
        </w:rPr>
        <w:t>годинама.</w:t>
      </w:r>
      <w:proofErr w:type="gramEnd"/>
    </w:p>
    <w:p w:rsidR="00D51341" w:rsidRDefault="00D51341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D51341" w:rsidRDefault="00D51341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FC40E2" w:rsidRDefault="00F5007A" w:rsidP="00FC40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FC40E2">
        <w:rPr>
          <w:rFonts w:ascii="Times New Roman" w:hAnsi="Times New Roman" w:cs="Times New Roman"/>
          <w:b/>
          <w:bCs/>
          <w:sz w:val="22"/>
          <w:szCs w:val="22"/>
        </w:rPr>
        <w:t xml:space="preserve"> ОПИС ПЛАНИРАНЕ ПОЛИТИКЕ </w:t>
      </w:r>
      <w:r w:rsidR="00D51341" w:rsidRPr="00FC40E2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ОПШТИНЕ</w:t>
      </w:r>
      <w:r w:rsidRPr="00FC40E2">
        <w:rPr>
          <w:rFonts w:ascii="Times New Roman" w:hAnsi="Times New Roman" w:cs="Times New Roman"/>
          <w:b/>
          <w:bCs/>
          <w:sz w:val="22"/>
          <w:szCs w:val="22"/>
        </w:rPr>
        <w:t xml:space="preserve"> ЗА ПЕРИОД 2015-2017. ГОДИНЕ</w:t>
      </w:r>
    </w:p>
    <w:p w:rsidR="00D51341" w:rsidRDefault="00D51341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D51341" w:rsidRPr="00F5007A" w:rsidRDefault="00D51341" w:rsidP="00D5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У периоду од 2015.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до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2017.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D44D1" w:rsidRP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Општина Владичин Хан </w:t>
      </w:r>
      <w:r w:rsidRPr="00F5007A">
        <w:rPr>
          <w:rFonts w:ascii="Times New Roman" w:hAnsi="Times New Roman" w:cs="Times New Roman"/>
          <w:bCs/>
          <w:sz w:val="22"/>
          <w:szCs w:val="22"/>
        </w:rPr>
        <w:t xml:space="preserve"> ће обављати изворне, поверене и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пренесене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надлежности у складу са Уставом Републике Србије и Законом о локалној</w:t>
      </w:r>
      <w:r w:rsidR="00AD44D1" w:rsidRP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самоуправи, као и другим законским и подзаконским актима којим се регулише ова област.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Сходно наведеном, активности </w:t>
      </w:r>
      <w:r w:rsidR="00AD44D1" w:rsidRP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Општине Владичин </w:t>
      </w:r>
      <w:proofErr w:type="gramStart"/>
      <w:r w:rsidR="00AD44D1" w:rsidRP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Хан </w:t>
      </w:r>
      <w:r w:rsidR="00AD44D1" w:rsidRPr="00F500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у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2015.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наредне две фискалне године</w:t>
      </w:r>
      <w:r w:rsidR="00AD44D1" w:rsidRP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биће усмерене на следеће послове: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>-урбанизам и просторно планирање,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>-одржавање и ширење комуналних услуга (водоснабдевање, прикупљање и одношење</w:t>
      </w:r>
      <w:r w:rsid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смећа, управљање отпадним водама, јавна</w:t>
      </w:r>
      <w:r w:rsid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хигијена, уређење и одржавање зеленила, јавна расвета, саобраћајна инфраструктура и остале</w:t>
      </w:r>
      <w:r w:rsidR="00AD44D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Cs/>
          <w:sz w:val="22"/>
          <w:szCs w:val="22"/>
        </w:rPr>
        <w:t>комуналне услуге),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вођење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економске и развојне политике,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пољопривреда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и рурални развој,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заштита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животне средине,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обезбеђивање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услова за </w:t>
      </w:r>
      <w:r w:rsidRPr="00F5007A">
        <w:rPr>
          <w:rFonts w:ascii="Times New Roman" w:hAnsi="Times New Roman" w:cs="Times New Roman"/>
          <w:bCs/>
          <w:sz w:val="24"/>
          <w:szCs w:val="24"/>
        </w:rPr>
        <w:t>рад локалних установа у култури,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07A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организација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културних и спортских активности и манифестација</w:t>
      </w:r>
      <w:r w:rsidRPr="00F5007A">
        <w:rPr>
          <w:rFonts w:ascii="Times New Roman" w:hAnsi="Times New Roman" w:cs="Times New Roman"/>
          <w:bCs/>
          <w:sz w:val="24"/>
          <w:szCs w:val="24"/>
        </w:rPr>
        <w:t>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опорезивање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>, финансијско управљање и буџетирање,</w:t>
      </w:r>
    </w:p>
    <w:p w:rsid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пружање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осталих услуга грађанима у складу са Законом.</w:t>
      </w:r>
    </w:p>
    <w:p w:rsidR="00AD44D1" w:rsidRPr="00F5007A" w:rsidRDefault="00AD44D1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F5007A" w:rsidRDefault="00AD44D1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D44D1">
        <w:rPr>
          <w:rFonts w:ascii="Times New Roman" w:hAnsi="Times New Roman" w:cs="Times New Roman"/>
          <w:bCs/>
          <w:sz w:val="22"/>
          <w:szCs w:val="22"/>
          <w:lang w:val="sr-Cyrl-CS"/>
        </w:rPr>
        <w:t>Општина Владичин Хан</w:t>
      </w:r>
      <w:r w:rsidR="00F5007A" w:rsidRPr="00F5007A">
        <w:rPr>
          <w:rFonts w:ascii="Times New Roman" w:hAnsi="Times New Roman" w:cs="Times New Roman"/>
          <w:bCs/>
          <w:sz w:val="22"/>
          <w:szCs w:val="22"/>
        </w:rPr>
        <w:t xml:space="preserve"> ће обављати поверене и пренесене послове из области: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државне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управе,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социјалне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заштите,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здравствене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заштите,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предшколског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>, основног и средњег образовања,</w:t>
      </w:r>
    </w:p>
    <w:p w:rsidR="00F5007A" w:rsidRPr="00F5007A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екологије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и очувања животне средине,</w:t>
      </w:r>
    </w:p>
    <w:p w:rsidR="00F5007A" w:rsidRPr="00AD44D1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F5007A">
        <w:rPr>
          <w:rFonts w:ascii="Times New Roman" w:hAnsi="Times New Roman" w:cs="Times New Roman"/>
          <w:bCs/>
          <w:sz w:val="22"/>
          <w:szCs w:val="22"/>
        </w:rPr>
        <w:t>рада</w:t>
      </w:r>
      <w:proofErr w:type="gramEnd"/>
      <w:r w:rsidRPr="00F5007A">
        <w:rPr>
          <w:rFonts w:ascii="Times New Roman" w:hAnsi="Times New Roman" w:cs="Times New Roman"/>
          <w:bCs/>
          <w:sz w:val="22"/>
          <w:szCs w:val="22"/>
        </w:rPr>
        <w:t xml:space="preserve"> инспекцијских служби и др.</w:t>
      </w:r>
    </w:p>
    <w:p w:rsidR="00AD44D1" w:rsidRPr="00F5007A" w:rsidRDefault="00AD44D1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E06FB0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E06FB0">
        <w:rPr>
          <w:rFonts w:ascii="Times New Roman" w:hAnsi="Times New Roman" w:cs="Times New Roman"/>
          <w:bCs/>
          <w:sz w:val="22"/>
          <w:szCs w:val="22"/>
        </w:rPr>
        <w:t>Извршавање свих законских обавеза и задатака који се односе на локалну управу,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>ефикасније коришћење расположивих финансијских ресурса у циљу задовољавања потреба</w:t>
      </w:r>
      <w:r w:rsidR="00DA45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 xml:space="preserve">грађана, основа су буџетске политике 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E06FB0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</w:p>
    <w:p w:rsidR="00F5007A" w:rsidRPr="00E06FB0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E06FB0">
        <w:rPr>
          <w:rFonts w:ascii="Times New Roman" w:hAnsi="Times New Roman" w:cs="Times New Roman"/>
          <w:bCs/>
          <w:sz w:val="22"/>
          <w:szCs w:val="22"/>
        </w:rPr>
        <w:t>Такође, у наредној години потребно је предузети активности које ће бити усмерене ка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 xml:space="preserve">повећању непореских прихода (нарочито прихода буџетских корисника 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E06FB0">
        <w:rPr>
          <w:rFonts w:ascii="Times New Roman" w:hAnsi="Times New Roman" w:cs="Times New Roman"/>
          <w:bCs/>
          <w:sz w:val="22"/>
          <w:szCs w:val="22"/>
        </w:rPr>
        <w:t>), као и на</w:t>
      </w:r>
      <w:r w:rsidR="00DA45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>редуковању административне потрошње свих корисника буџета, што је у складу са мерама</w:t>
      </w:r>
      <w:r w:rsidR="00DA45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>штедње.</w:t>
      </w:r>
      <w:proofErr w:type="gramEnd"/>
    </w:p>
    <w:p w:rsidR="00F5007A" w:rsidRPr="00E06FB0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E06FB0">
        <w:rPr>
          <w:rFonts w:ascii="Times New Roman" w:hAnsi="Times New Roman" w:cs="Times New Roman"/>
          <w:bCs/>
          <w:sz w:val="22"/>
          <w:szCs w:val="22"/>
        </w:rPr>
        <w:t>Опредељење је да се у наредној години расположива средства искористе првенствено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>за финансирање социјалне заштите</w:t>
      </w:r>
      <w:proofErr w:type="gramStart"/>
      <w:r w:rsidRPr="00E06FB0">
        <w:rPr>
          <w:rFonts w:ascii="Times New Roman" w:hAnsi="Times New Roman" w:cs="Times New Roman"/>
          <w:bCs/>
          <w:sz w:val="22"/>
          <w:szCs w:val="22"/>
        </w:rPr>
        <w:t>,  улагање</w:t>
      </w:r>
      <w:proofErr w:type="gramEnd"/>
      <w:r w:rsidRPr="00E06FB0">
        <w:rPr>
          <w:rFonts w:ascii="Times New Roman" w:hAnsi="Times New Roman" w:cs="Times New Roman"/>
          <w:bCs/>
          <w:sz w:val="22"/>
          <w:szCs w:val="22"/>
        </w:rPr>
        <w:t xml:space="preserve"> у запошљавање и</w:t>
      </w:r>
      <w:r w:rsidR="00DA45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>унапређење привреде и образовања. Такође, предвиђено је улагање у саобраћајну и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 xml:space="preserve">комуналну инфраструктуру, са акцентом на текуће </w:t>
      </w:r>
      <w:r w:rsidRPr="00E06FB0">
        <w:rPr>
          <w:rFonts w:ascii="Times New Roman" w:hAnsi="Times New Roman" w:cs="Times New Roman"/>
          <w:bCs/>
          <w:sz w:val="22"/>
          <w:szCs w:val="22"/>
        </w:rPr>
        <w:lastRenderedPageBreak/>
        <w:t>и инвестиционо одржавање инфраструктуре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 xml:space="preserve">и завршетак капиталних пројеката из раније одобрених средстава </w:t>
      </w:r>
      <w:proofErr w:type="gramStart"/>
      <w:r w:rsidRPr="00E06FB0">
        <w:rPr>
          <w:rFonts w:ascii="Times New Roman" w:hAnsi="Times New Roman" w:cs="Times New Roman"/>
          <w:bCs/>
          <w:sz w:val="22"/>
          <w:szCs w:val="22"/>
        </w:rPr>
        <w:t xml:space="preserve">буџета 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>.</w:t>
      </w:r>
      <w:proofErr w:type="gramEnd"/>
    </w:p>
    <w:p w:rsidR="00AD44D1" w:rsidRPr="00E06FB0" w:rsidRDefault="00AD44D1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E06FB0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E06FB0">
        <w:rPr>
          <w:rFonts w:ascii="Times New Roman" w:hAnsi="Times New Roman" w:cs="Times New Roman"/>
          <w:bCs/>
          <w:sz w:val="22"/>
          <w:szCs w:val="22"/>
        </w:rPr>
        <w:t>У складу са доспелим обавезама по анутетима за одобрено кредитно задужење, у 2015.</w:t>
      </w:r>
      <w:proofErr w:type="gramEnd"/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proofErr w:type="gramStart"/>
      <w:r w:rsidRPr="00E06FB0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E06FB0">
        <w:rPr>
          <w:rFonts w:ascii="Times New Roman" w:hAnsi="Times New Roman" w:cs="Times New Roman"/>
          <w:bCs/>
          <w:sz w:val="22"/>
          <w:szCs w:val="22"/>
        </w:rPr>
        <w:t xml:space="preserve"> вршиће се уредно сервисирање поменутих обавеза, при чему није предвиђено ново</w:t>
      </w:r>
      <w:r w:rsidR="00AD44D1" w:rsidRPr="00E06FB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E06FB0">
        <w:rPr>
          <w:rFonts w:ascii="Times New Roman" w:hAnsi="Times New Roman" w:cs="Times New Roman"/>
          <w:bCs/>
          <w:sz w:val="22"/>
          <w:szCs w:val="22"/>
        </w:rPr>
        <w:t>задуживање.</w:t>
      </w:r>
    </w:p>
    <w:p w:rsidR="00F5007A" w:rsidRPr="000F0035" w:rsidRDefault="00011EBF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>У</w:t>
      </w:r>
      <w:r w:rsidR="00F5007A" w:rsidRPr="000F0035">
        <w:rPr>
          <w:rFonts w:ascii="Times New Roman" w:hAnsi="Times New Roman" w:cs="Times New Roman"/>
          <w:bCs/>
          <w:sz w:val="22"/>
          <w:szCs w:val="22"/>
        </w:rPr>
        <w:t xml:space="preserve"> поступку усвајања буџета </w:t>
      </w:r>
      <w:r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Општине </w:t>
      </w:r>
      <w:r w:rsidR="00F5007A" w:rsidRPr="000F0035">
        <w:rPr>
          <w:rFonts w:ascii="Times New Roman" w:hAnsi="Times New Roman" w:cs="Times New Roman"/>
          <w:bCs/>
          <w:sz w:val="22"/>
          <w:szCs w:val="22"/>
        </w:rPr>
        <w:t>за наредну годину, опредељење је да се кроз</w:t>
      </w:r>
      <w:r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F5007A" w:rsidRPr="000F0035">
        <w:rPr>
          <w:rFonts w:ascii="Times New Roman" w:hAnsi="Times New Roman" w:cs="Times New Roman"/>
          <w:bCs/>
          <w:sz w:val="22"/>
          <w:szCs w:val="22"/>
        </w:rPr>
        <w:t>комуникацију са јавношћу дође до што квалитетнијег буџетског документа, у циљу већег</w:t>
      </w:r>
      <w:r w:rsid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F5007A" w:rsidRPr="000F0035">
        <w:rPr>
          <w:rFonts w:ascii="Times New Roman" w:hAnsi="Times New Roman" w:cs="Times New Roman"/>
          <w:bCs/>
          <w:sz w:val="22"/>
          <w:szCs w:val="22"/>
        </w:rPr>
        <w:t>учешћа јавности у одређивању приоритета у буџетској потрошњи.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Успостављањем и унапређењем планирања и расподеле средстава по програмском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моделу, створиће се основ за обезбеђивање веће ефикасности и конкурентности привреде као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и делотворност јавне потрошње.</w:t>
      </w:r>
      <w:proofErr w:type="gramEnd"/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Само унапређење буџетских процеса део је шире реформе управљања јавним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финансијама, која ставља акценат на утврђивање приоритета и оптимизацију потрошње у циљу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подстицања привредног раста и ефикасног пружања квалитетних услуга јавне управе.</w:t>
      </w:r>
      <w:proofErr w:type="gramEnd"/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Од корисника буџета 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очекује се да поштују политику 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за наредну годину и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придржавају се ограничења везаних за буџетску потрошњу у наредној години.</w:t>
      </w:r>
      <w:proofErr w:type="gramEnd"/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Са аспекта финансијског менаџмента, активности у политици јавних прихода и расхода</w:t>
      </w:r>
      <w:r w:rsid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буџета 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>Општине Владичин Хан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 у 2015.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наредне две фискалне године биће усмерене ка следећим</w:t>
      </w:r>
      <w:r w:rsidR="00011EBF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принципима:</w:t>
      </w:r>
    </w:p>
    <w:p w:rsidR="00011EBF" w:rsidRPr="00011EBF" w:rsidRDefault="00011EBF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вођење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фискалне политике усклађене са принципима фискалне одговорности и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фискалним правилима која се односе на фискални дефицит и јавни дуг утврђеним Законом о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буџетском систему;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чврста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контрола плата у јавном сектору у складу са утврђеним фискалним правилима;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повећање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финансијске дисциплине буџетских корисника;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>-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замрзавање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текућих расхода уз истовремено веће издвајање за капиталне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инвестиционе расходе, који ће подржати привредни раст и укупан развој;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наставак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процеса рационалније потрошње код свих буџетских корисника;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финансирање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капиталних пројеката дефинисаних развојним (стратешким и планским)</w:t>
      </w:r>
      <w:r w:rsid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документима које је усвојила Скупштина 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0F0035">
        <w:rPr>
          <w:rFonts w:ascii="Times New Roman" w:hAnsi="Times New Roman" w:cs="Times New Roman"/>
          <w:bCs/>
          <w:sz w:val="22"/>
          <w:szCs w:val="22"/>
        </w:rPr>
        <w:t>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>- наставак активности у сагледавању прихода, који остварују буџетски корисници и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јавна предузећа као „сопствене приходе“, а реч је о јавним приходима који се морају укључити</w:t>
      </w:r>
      <w:r w:rsid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као буџетски приход консолидованог рачуна трезора;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контрола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пословања у јавним предузећима, чији је оснивач 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>Општина</w:t>
      </w:r>
      <w:r w:rsidRPr="000F0035">
        <w:rPr>
          <w:rFonts w:ascii="Times New Roman" w:hAnsi="Times New Roman" w:cs="Times New Roman"/>
          <w:bCs/>
          <w:sz w:val="22"/>
          <w:szCs w:val="22"/>
        </w:rPr>
        <w:t>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инсистирање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на изради и доношењу реалних планова и програма развоја јавних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предузећа, као и </w:t>
      </w:r>
      <w:r w:rsidR="00A02D90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смањењу 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 субвенционисања из буџета 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0F0035">
        <w:rPr>
          <w:rFonts w:ascii="Times New Roman" w:hAnsi="Times New Roman" w:cs="Times New Roman"/>
          <w:bCs/>
          <w:sz w:val="22"/>
          <w:szCs w:val="22"/>
        </w:rPr>
        <w:t>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наставак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започетих активности из претходне године на реализацији основних циљева</w:t>
      </w:r>
      <w:r w:rsid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у политици локалних јавних прихода и расхода;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наставак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активности локалне пореске администрације на реалном обухвату и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ефикаснијој наплати припадајућих изворних прихода 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0F0035">
        <w:rPr>
          <w:rFonts w:ascii="Times New Roman" w:hAnsi="Times New Roman" w:cs="Times New Roman"/>
          <w:bCs/>
          <w:sz w:val="22"/>
          <w:szCs w:val="22"/>
        </w:rPr>
        <w:t>;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F0035">
        <w:rPr>
          <w:rFonts w:ascii="Times New Roman" w:hAnsi="Times New Roman" w:cs="Times New Roman"/>
          <w:bCs/>
          <w:sz w:val="22"/>
          <w:szCs w:val="22"/>
        </w:rPr>
        <w:t xml:space="preserve">-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унапређење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процеса управљања расходима, кроз јачање планске функције буџетских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корисника у сагледавању и изради финансијских планова.</w:t>
      </w:r>
    </w:p>
    <w:p w:rsidR="00F5007A" w:rsidRPr="000F0035" w:rsidRDefault="00F5007A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Кретање расхода у 2015.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0F0035">
        <w:rPr>
          <w:rFonts w:ascii="Times New Roman" w:hAnsi="Times New Roman" w:cs="Times New Roman"/>
          <w:bCs/>
          <w:sz w:val="22"/>
          <w:szCs w:val="22"/>
        </w:rPr>
        <w:t xml:space="preserve"> биће усмерено ка санирању негативних утицаја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 xml:space="preserve">кризе. </w:t>
      </w:r>
      <w:proofErr w:type="gramStart"/>
      <w:r w:rsidRPr="000F0035">
        <w:rPr>
          <w:rFonts w:ascii="Times New Roman" w:hAnsi="Times New Roman" w:cs="Times New Roman"/>
          <w:bCs/>
          <w:sz w:val="22"/>
          <w:szCs w:val="22"/>
        </w:rPr>
        <w:t>У том смислу наставиће се са смањењем учешћа јавне потрошње, вршиће се исплата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неизмирених обавеза, отплата рате за кредит, а остатак средстава усмериће се за</w:t>
      </w:r>
      <w:r w:rsidR="000F0035" w:rsidRPr="000F0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F0035">
        <w:rPr>
          <w:rFonts w:ascii="Times New Roman" w:hAnsi="Times New Roman" w:cs="Times New Roman"/>
          <w:bCs/>
          <w:sz w:val="22"/>
          <w:szCs w:val="22"/>
        </w:rPr>
        <w:t>инвестициона улагања.</w:t>
      </w:r>
      <w:proofErr w:type="gramEnd"/>
    </w:p>
    <w:p w:rsidR="00AD44D1" w:rsidRPr="000F0035" w:rsidRDefault="00AD44D1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0D00D9" w:rsidRPr="000F0035" w:rsidRDefault="000D00D9" w:rsidP="00A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9E589C" w:rsidRPr="00FC40E2" w:rsidRDefault="00F5007A" w:rsidP="00FC40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FC40E2">
        <w:rPr>
          <w:rFonts w:ascii="Times New Roman" w:hAnsi="Times New Roman" w:cs="Times New Roman"/>
          <w:b/>
          <w:bCs/>
          <w:sz w:val="22"/>
          <w:szCs w:val="22"/>
        </w:rPr>
        <w:t xml:space="preserve"> ПРОЦЕНА ПРИХОДА И ПРИМАЊА И РАСХОДА И ИЗДАТАКА ЗА 2015. </w:t>
      </w:r>
    </w:p>
    <w:p w:rsidR="00F5007A" w:rsidRDefault="00F5007A" w:rsidP="009E5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t>И НАРЕДНЕ ДВЕ</w:t>
      </w:r>
      <w:r w:rsidR="009E589C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22"/>
          <w:szCs w:val="22"/>
        </w:rPr>
        <w:t>ГОДИНЕ</w:t>
      </w:r>
    </w:p>
    <w:p w:rsidR="00F5007A" w:rsidRPr="00FB259A" w:rsidRDefault="00F5007A" w:rsidP="001E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FB259A">
        <w:rPr>
          <w:rFonts w:ascii="Times New Roman" w:hAnsi="Times New Roman" w:cs="Times New Roman"/>
          <w:bCs/>
          <w:sz w:val="22"/>
          <w:szCs w:val="22"/>
        </w:rPr>
        <w:lastRenderedPageBreak/>
        <w:t>Полазна основа за планирање обима буџета за 2015.</w:t>
      </w:r>
      <w:proofErr w:type="gramEnd"/>
      <w:r w:rsidRPr="00FB259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FB259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B259A">
        <w:rPr>
          <w:rFonts w:ascii="Times New Roman" w:hAnsi="Times New Roman" w:cs="Times New Roman"/>
          <w:bCs/>
          <w:sz w:val="22"/>
          <w:szCs w:val="22"/>
        </w:rPr>
        <w:t xml:space="preserve"> су планирани приходи и</w:t>
      </w:r>
      <w:r w:rsidR="001E3E27" w:rsidRPr="00FB25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примања из Одлуке о буџету </w:t>
      </w:r>
      <w:r w:rsidR="001E3E27" w:rsidRPr="00FB259A">
        <w:rPr>
          <w:rFonts w:ascii="Times New Roman" w:hAnsi="Times New Roman" w:cs="Times New Roman"/>
          <w:bCs/>
          <w:sz w:val="22"/>
          <w:szCs w:val="22"/>
          <w:lang w:val="sr-Cyrl-CS"/>
        </w:rPr>
        <w:t>Општине Владичин Хан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 за 2014. </w:t>
      </w:r>
      <w:r w:rsidR="00FC40E2">
        <w:rPr>
          <w:rFonts w:ascii="Times New Roman" w:hAnsi="Times New Roman" w:cs="Times New Roman"/>
          <w:bCs/>
          <w:sz w:val="22"/>
          <w:szCs w:val="22"/>
          <w:lang w:val="sr-Cyrl-CS"/>
        </w:rPr>
        <w:t>г</w:t>
      </w:r>
      <w:r w:rsidRPr="00FB259A">
        <w:rPr>
          <w:rFonts w:ascii="Times New Roman" w:hAnsi="Times New Roman" w:cs="Times New Roman"/>
          <w:bCs/>
          <w:sz w:val="22"/>
          <w:szCs w:val="22"/>
        </w:rPr>
        <w:t>одину</w:t>
      </w:r>
      <w:r w:rsidR="00FC40E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-Ребаланс </w:t>
      </w:r>
      <w:r w:rsidR="00A02D90">
        <w:rPr>
          <w:rFonts w:ascii="Times New Roman" w:hAnsi="Times New Roman" w:cs="Times New Roman"/>
          <w:bCs/>
          <w:sz w:val="22"/>
          <w:szCs w:val="22"/>
          <w:lang w:val="sr-Cyrl-CS"/>
        </w:rPr>
        <w:t>1</w:t>
      </w:r>
      <w:r w:rsidRPr="00FB259A">
        <w:rPr>
          <w:rFonts w:ascii="Times New Roman" w:hAnsi="Times New Roman" w:cs="Times New Roman"/>
          <w:bCs/>
          <w:sz w:val="22"/>
          <w:szCs w:val="22"/>
        </w:rPr>
        <w:t>, као и планирани</w:t>
      </w:r>
      <w:r w:rsidR="001E3E27" w:rsidRPr="00FB25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B259A">
        <w:rPr>
          <w:rFonts w:ascii="Times New Roman" w:hAnsi="Times New Roman" w:cs="Times New Roman"/>
          <w:bCs/>
          <w:sz w:val="22"/>
          <w:szCs w:val="22"/>
        </w:rPr>
        <w:t>расходи и издаци из ове Одлуке.</w:t>
      </w:r>
    </w:p>
    <w:p w:rsidR="00F5007A" w:rsidRPr="00FB259A" w:rsidRDefault="00F5007A" w:rsidP="001E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FB259A">
        <w:rPr>
          <w:rFonts w:ascii="Times New Roman" w:hAnsi="Times New Roman" w:cs="Times New Roman"/>
          <w:bCs/>
          <w:sz w:val="22"/>
          <w:szCs w:val="22"/>
        </w:rPr>
        <w:t>У складу са подацима о реализацији прихода у претходним годинама, планираним</w:t>
      </w:r>
      <w:r w:rsidR="001E3E27" w:rsidRPr="00FB25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приходима и примањима из Одлуке о буџету </w:t>
      </w:r>
      <w:r w:rsidR="001E3E27" w:rsidRPr="00FB259A">
        <w:rPr>
          <w:rFonts w:ascii="Times New Roman" w:hAnsi="Times New Roman" w:cs="Times New Roman"/>
          <w:bCs/>
          <w:sz w:val="22"/>
          <w:szCs w:val="22"/>
          <w:lang w:val="sr-Cyrl-CS"/>
        </w:rPr>
        <w:t>Општине Владичин Хан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 за 2014.</w:t>
      </w:r>
      <w:proofErr w:type="gramEnd"/>
      <w:r w:rsidRPr="00FB259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C40E2">
        <w:rPr>
          <w:rFonts w:ascii="Times New Roman" w:hAnsi="Times New Roman" w:cs="Times New Roman"/>
          <w:bCs/>
          <w:sz w:val="22"/>
          <w:szCs w:val="22"/>
          <w:lang w:val="sr-Cyrl-CS"/>
        </w:rPr>
        <w:t>г</w:t>
      </w:r>
      <w:r w:rsidRPr="00FB259A">
        <w:rPr>
          <w:rFonts w:ascii="Times New Roman" w:hAnsi="Times New Roman" w:cs="Times New Roman"/>
          <w:bCs/>
          <w:sz w:val="22"/>
          <w:szCs w:val="22"/>
        </w:rPr>
        <w:t>одину</w:t>
      </w:r>
      <w:r w:rsidR="00FC40E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B259A">
        <w:rPr>
          <w:rFonts w:ascii="Times New Roman" w:hAnsi="Times New Roman" w:cs="Times New Roman"/>
          <w:bCs/>
          <w:sz w:val="22"/>
          <w:szCs w:val="22"/>
        </w:rPr>
        <w:t>-</w:t>
      </w:r>
      <w:r w:rsidR="00FC40E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ребаланс </w:t>
      </w:r>
      <w:r w:rsidR="00A02D90">
        <w:rPr>
          <w:rFonts w:ascii="Times New Roman" w:hAnsi="Times New Roman" w:cs="Times New Roman"/>
          <w:bCs/>
          <w:sz w:val="22"/>
          <w:szCs w:val="22"/>
          <w:lang w:val="sr-Cyrl-CS"/>
        </w:rPr>
        <w:t>1</w:t>
      </w:r>
      <w:r w:rsidRPr="00FB259A">
        <w:rPr>
          <w:rFonts w:ascii="Times New Roman" w:hAnsi="Times New Roman" w:cs="Times New Roman"/>
          <w:bCs/>
          <w:sz w:val="22"/>
          <w:szCs w:val="22"/>
        </w:rPr>
        <w:t>, као</w:t>
      </w:r>
      <w:r w:rsidR="001E3E27" w:rsidRPr="00FB25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и параметрима датим у Фискалној стратегији за 2014. </w:t>
      </w:r>
      <w:proofErr w:type="gramStart"/>
      <w:r w:rsidRPr="00FB259A">
        <w:rPr>
          <w:rFonts w:ascii="Times New Roman" w:hAnsi="Times New Roman" w:cs="Times New Roman"/>
          <w:bCs/>
          <w:sz w:val="22"/>
          <w:szCs w:val="22"/>
        </w:rPr>
        <w:t>са</w:t>
      </w:r>
      <w:proofErr w:type="gramEnd"/>
      <w:r w:rsidRPr="00FB259A">
        <w:rPr>
          <w:rFonts w:ascii="Times New Roman" w:hAnsi="Times New Roman" w:cs="Times New Roman"/>
          <w:bCs/>
          <w:sz w:val="22"/>
          <w:szCs w:val="22"/>
        </w:rPr>
        <w:t xml:space="preserve"> пројекцијама за 2015. </w:t>
      </w:r>
      <w:proofErr w:type="gramStart"/>
      <w:r w:rsidRPr="00FB259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FB259A">
        <w:rPr>
          <w:rFonts w:ascii="Times New Roman" w:hAnsi="Times New Roman" w:cs="Times New Roman"/>
          <w:bCs/>
          <w:sz w:val="22"/>
          <w:szCs w:val="22"/>
        </w:rPr>
        <w:t xml:space="preserve"> 2016. </w:t>
      </w:r>
      <w:proofErr w:type="gramStart"/>
      <w:r w:rsidRPr="00FB259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B259A">
        <w:rPr>
          <w:rFonts w:ascii="Times New Roman" w:hAnsi="Times New Roman" w:cs="Times New Roman"/>
          <w:bCs/>
          <w:sz w:val="22"/>
          <w:szCs w:val="22"/>
        </w:rPr>
        <w:t>,</w:t>
      </w:r>
      <w:r w:rsidR="001E3E27" w:rsidRPr="00FB25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израђена је пројекција буџетских прихода и примања у буџету </w:t>
      </w:r>
      <w:r w:rsidR="001E3E27" w:rsidRPr="00FB259A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FB259A">
        <w:rPr>
          <w:rFonts w:ascii="Times New Roman" w:hAnsi="Times New Roman" w:cs="Times New Roman"/>
          <w:bCs/>
          <w:sz w:val="22"/>
          <w:szCs w:val="22"/>
        </w:rPr>
        <w:t xml:space="preserve"> за 2015. </w:t>
      </w:r>
      <w:proofErr w:type="gramStart"/>
      <w:r w:rsidRPr="00FB259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FB259A">
        <w:rPr>
          <w:rFonts w:ascii="Times New Roman" w:hAnsi="Times New Roman" w:cs="Times New Roman"/>
          <w:bCs/>
          <w:sz w:val="22"/>
          <w:szCs w:val="22"/>
        </w:rPr>
        <w:t>:</w:t>
      </w:r>
    </w:p>
    <w:p w:rsidR="001E3E27" w:rsidRPr="001E3E27" w:rsidRDefault="001E3E27" w:rsidP="001E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EE302F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</w:pP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>Табела-</w:t>
      </w:r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Пројекција прихода и примања у периоду од 2015.</w:t>
      </w:r>
      <w:proofErr w:type="gramEnd"/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до</w:t>
      </w:r>
      <w:proofErr w:type="gramEnd"/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2017. </w:t>
      </w:r>
      <w:r w:rsidR="00EE302F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>г</w:t>
      </w:r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одине</w:t>
      </w:r>
      <w:r w:rsidR="00EE302F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 xml:space="preserve"> (у хиљадама динара)</w:t>
      </w:r>
    </w:p>
    <w:p w:rsidR="00722645" w:rsidRDefault="00722645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tbl>
      <w:tblPr>
        <w:tblStyle w:val="TableGrid"/>
        <w:tblW w:w="10098" w:type="dxa"/>
        <w:tblInd w:w="-522" w:type="dxa"/>
        <w:tblLook w:val="04A0"/>
      </w:tblPr>
      <w:tblGrid>
        <w:gridCol w:w="3130"/>
        <w:gridCol w:w="1348"/>
        <w:gridCol w:w="1336"/>
        <w:gridCol w:w="1414"/>
        <w:gridCol w:w="1461"/>
        <w:gridCol w:w="1409"/>
      </w:tblGrid>
      <w:tr w:rsidR="005E3EA4" w:rsidRPr="00177BBE" w:rsidTr="007F26CC">
        <w:tc>
          <w:tcPr>
            <w:tcW w:w="3130" w:type="dxa"/>
          </w:tcPr>
          <w:p w:rsidR="005E3EA4" w:rsidRPr="00177BBE" w:rsidRDefault="005E3EA4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ПРИХОДИ И ПРИМАЊА (у</w:t>
            </w:r>
          </w:p>
        </w:tc>
        <w:tc>
          <w:tcPr>
            <w:tcW w:w="1348" w:type="dxa"/>
          </w:tcPr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2013</w:t>
            </w:r>
          </w:p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</w:t>
            </w:r>
            <w:r w:rsidRPr="005E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стварење</w:t>
            </w:r>
          </w:p>
        </w:tc>
        <w:tc>
          <w:tcPr>
            <w:tcW w:w="1336" w:type="dxa"/>
          </w:tcPr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2014</w:t>
            </w:r>
          </w:p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процена</w:t>
            </w:r>
          </w:p>
        </w:tc>
        <w:tc>
          <w:tcPr>
            <w:tcW w:w="1414" w:type="dxa"/>
          </w:tcPr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2015</w:t>
            </w:r>
          </w:p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пројекција</w:t>
            </w:r>
          </w:p>
        </w:tc>
        <w:tc>
          <w:tcPr>
            <w:tcW w:w="1461" w:type="dxa"/>
          </w:tcPr>
          <w:p w:rsid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2016</w:t>
            </w:r>
          </w:p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пројекција</w:t>
            </w:r>
          </w:p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409" w:type="dxa"/>
          </w:tcPr>
          <w:p w:rsid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</w:t>
            </w:r>
          </w:p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пројекција</w:t>
            </w:r>
          </w:p>
          <w:p w:rsidR="005E3EA4" w:rsidRPr="005E3EA4" w:rsidRDefault="005E3EA4" w:rsidP="005E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Порези</w:t>
            </w:r>
          </w:p>
        </w:tc>
        <w:tc>
          <w:tcPr>
            <w:tcW w:w="1348" w:type="dxa"/>
          </w:tcPr>
          <w:p w:rsidR="005E3EA4" w:rsidRPr="00E857AB" w:rsidRDefault="00E857AB" w:rsidP="00E857A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173.565</w:t>
            </w:r>
          </w:p>
        </w:tc>
        <w:tc>
          <w:tcPr>
            <w:tcW w:w="1336" w:type="dxa"/>
          </w:tcPr>
          <w:p w:rsidR="005E3EA4" w:rsidRPr="00E857AB" w:rsidRDefault="00E857AB" w:rsidP="00E857A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165.000</w:t>
            </w:r>
          </w:p>
        </w:tc>
        <w:tc>
          <w:tcPr>
            <w:tcW w:w="1414" w:type="dxa"/>
          </w:tcPr>
          <w:p w:rsidR="005E3EA4" w:rsidRPr="00E857AB" w:rsidRDefault="00E857AB" w:rsidP="00E857A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175.000</w:t>
            </w:r>
          </w:p>
        </w:tc>
        <w:tc>
          <w:tcPr>
            <w:tcW w:w="1461" w:type="dxa"/>
          </w:tcPr>
          <w:p w:rsidR="005E3EA4" w:rsidRPr="00E857AB" w:rsidRDefault="00E857AB" w:rsidP="00E857A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198.500</w:t>
            </w:r>
          </w:p>
        </w:tc>
        <w:tc>
          <w:tcPr>
            <w:tcW w:w="1409" w:type="dxa"/>
          </w:tcPr>
          <w:p w:rsidR="005E3EA4" w:rsidRPr="00E857AB" w:rsidRDefault="00E857AB" w:rsidP="00E857A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1.1. Порез на доходак,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добит и капиталне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добитке</w:t>
            </w:r>
          </w:p>
        </w:tc>
        <w:tc>
          <w:tcPr>
            <w:tcW w:w="1348" w:type="dxa"/>
            <w:vAlign w:val="center"/>
          </w:tcPr>
          <w:p w:rsidR="005E3EA4" w:rsidRPr="00E857AB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857A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143.336</w:t>
            </w:r>
          </w:p>
        </w:tc>
        <w:tc>
          <w:tcPr>
            <w:tcW w:w="1336" w:type="dxa"/>
            <w:vAlign w:val="center"/>
          </w:tcPr>
          <w:p w:rsidR="005E3EA4" w:rsidRPr="00E857AB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857A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134.400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140.000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160.000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1.2. Порез на имовину</w:t>
            </w:r>
          </w:p>
        </w:tc>
        <w:tc>
          <w:tcPr>
            <w:tcW w:w="1348" w:type="dxa"/>
            <w:vAlign w:val="center"/>
          </w:tcPr>
          <w:p w:rsidR="005E3EA4" w:rsidRPr="00E857AB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857A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12.442</w:t>
            </w:r>
          </w:p>
        </w:tc>
        <w:tc>
          <w:tcPr>
            <w:tcW w:w="1336" w:type="dxa"/>
            <w:vAlign w:val="center"/>
          </w:tcPr>
          <w:p w:rsidR="005E3EA4" w:rsidRPr="00E857AB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857A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12.200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1.3. Порез на добра и услуге</w:t>
            </w:r>
          </w:p>
        </w:tc>
        <w:tc>
          <w:tcPr>
            <w:tcW w:w="1348" w:type="dxa"/>
            <w:vAlign w:val="center"/>
          </w:tcPr>
          <w:p w:rsidR="005E3EA4" w:rsidRPr="00E857AB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857A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5.286</w:t>
            </w:r>
          </w:p>
        </w:tc>
        <w:tc>
          <w:tcPr>
            <w:tcW w:w="1336" w:type="dxa"/>
            <w:vAlign w:val="center"/>
          </w:tcPr>
          <w:p w:rsidR="005E3EA4" w:rsidRPr="00E857AB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857A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5.400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6.000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6.500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1.4. Други порези</w:t>
            </w:r>
          </w:p>
        </w:tc>
        <w:tc>
          <w:tcPr>
            <w:tcW w:w="1348" w:type="dxa"/>
            <w:vAlign w:val="center"/>
          </w:tcPr>
          <w:p w:rsidR="005E3EA4" w:rsidRPr="00E857AB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857A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12.501</w:t>
            </w:r>
          </w:p>
        </w:tc>
        <w:tc>
          <w:tcPr>
            <w:tcW w:w="1336" w:type="dxa"/>
            <w:vAlign w:val="center"/>
          </w:tcPr>
          <w:p w:rsidR="005E3EA4" w:rsidRPr="00E857AB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857A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13.000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Донације од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међународних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организација</w:t>
            </w:r>
          </w:p>
        </w:tc>
        <w:tc>
          <w:tcPr>
            <w:tcW w:w="1348" w:type="dxa"/>
            <w:vAlign w:val="center"/>
          </w:tcPr>
          <w:p w:rsidR="005E3EA4" w:rsidRPr="00EE302F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11.014</w:t>
            </w:r>
          </w:p>
        </w:tc>
        <w:tc>
          <w:tcPr>
            <w:tcW w:w="1336" w:type="dxa"/>
            <w:vAlign w:val="center"/>
          </w:tcPr>
          <w:p w:rsidR="005E3EA4" w:rsidRPr="00EE302F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17.500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Трансфери од других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нивоа власти</w:t>
            </w:r>
          </w:p>
        </w:tc>
        <w:tc>
          <w:tcPr>
            <w:tcW w:w="1348" w:type="dxa"/>
            <w:vAlign w:val="center"/>
          </w:tcPr>
          <w:p w:rsidR="005E3EA4" w:rsidRPr="00EE302F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306.084</w:t>
            </w:r>
          </w:p>
        </w:tc>
        <w:tc>
          <w:tcPr>
            <w:tcW w:w="1336" w:type="dxa"/>
            <w:vAlign w:val="center"/>
          </w:tcPr>
          <w:p w:rsidR="005E3EA4" w:rsidRPr="00EE302F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348.000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300.000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300.000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Други приходи</w:t>
            </w:r>
          </w:p>
        </w:tc>
        <w:tc>
          <w:tcPr>
            <w:tcW w:w="1348" w:type="dxa"/>
            <w:vAlign w:val="center"/>
          </w:tcPr>
          <w:p w:rsidR="005E3EA4" w:rsidRPr="00EE302F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60.447</w:t>
            </w:r>
          </w:p>
        </w:tc>
        <w:tc>
          <w:tcPr>
            <w:tcW w:w="1336" w:type="dxa"/>
            <w:vAlign w:val="center"/>
          </w:tcPr>
          <w:p w:rsidR="005E3EA4" w:rsidRPr="00EE302F" w:rsidRDefault="0036669D" w:rsidP="0036669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49.000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55.000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Примања од продаје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нефинансијске имовине</w:t>
            </w:r>
          </w:p>
        </w:tc>
        <w:tc>
          <w:tcPr>
            <w:tcW w:w="1348" w:type="dxa"/>
            <w:vAlign w:val="center"/>
          </w:tcPr>
          <w:p w:rsidR="005E3EA4" w:rsidRPr="00EE302F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336" w:type="dxa"/>
            <w:vAlign w:val="center"/>
          </w:tcPr>
          <w:p w:rsidR="005E3EA4" w:rsidRPr="00EE302F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Примања од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задуживања и продаје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финансијске имовине</w:t>
            </w:r>
          </w:p>
        </w:tc>
        <w:tc>
          <w:tcPr>
            <w:tcW w:w="1348" w:type="dxa"/>
            <w:vAlign w:val="center"/>
          </w:tcPr>
          <w:p w:rsidR="005E3EA4" w:rsidRPr="00EE302F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336" w:type="dxa"/>
            <w:vAlign w:val="center"/>
          </w:tcPr>
          <w:p w:rsidR="005E3EA4" w:rsidRPr="00EE302F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4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1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E3EA4" w:rsidRPr="00177BBE" w:rsidTr="00E44FD4">
        <w:tc>
          <w:tcPr>
            <w:tcW w:w="3130" w:type="dxa"/>
          </w:tcPr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Пренета средства из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претходне године</w:t>
            </w: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vAlign w:val="center"/>
          </w:tcPr>
          <w:p w:rsidR="005E3EA4" w:rsidRPr="00EE302F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39.874</w:t>
            </w:r>
          </w:p>
        </w:tc>
        <w:tc>
          <w:tcPr>
            <w:tcW w:w="1336" w:type="dxa"/>
            <w:tcBorders>
              <w:bottom w:val="single" w:sz="4" w:space="0" w:color="000000" w:themeColor="text1"/>
            </w:tcBorders>
            <w:vAlign w:val="center"/>
          </w:tcPr>
          <w:p w:rsidR="005E3EA4" w:rsidRPr="00EE302F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30.000</w:t>
            </w: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bottom w:val="single" w:sz="4" w:space="0" w:color="000000" w:themeColor="text1"/>
            </w:tcBorders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E3EA4" w:rsidRPr="00177BBE" w:rsidTr="00E44FD4">
        <w:tc>
          <w:tcPr>
            <w:tcW w:w="3130" w:type="dxa"/>
          </w:tcPr>
          <w:p w:rsidR="005E3EA4" w:rsidRPr="00177BBE" w:rsidRDefault="005E3EA4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УКУПНО</w:t>
            </w:r>
          </w:p>
        </w:tc>
        <w:tc>
          <w:tcPr>
            <w:tcW w:w="1348" w:type="dxa"/>
            <w:shd w:val="clear" w:color="auto" w:fill="B2A1C7" w:themeFill="accent4" w:themeFillTint="99"/>
            <w:vAlign w:val="center"/>
          </w:tcPr>
          <w:p w:rsidR="005E3EA4" w:rsidRPr="00EE302F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EE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590.984</w:t>
            </w:r>
          </w:p>
        </w:tc>
        <w:tc>
          <w:tcPr>
            <w:tcW w:w="1336" w:type="dxa"/>
            <w:shd w:val="clear" w:color="auto" w:fill="B2A1C7" w:themeFill="accent4" w:themeFillTint="99"/>
            <w:vAlign w:val="center"/>
          </w:tcPr>
          <w:p w:rsidR="005E3EA4" w:rsidRPr="00EE302F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610.000</w:t>
            </w:r>
          </w:p>
        </w:tc>
        <w:tc>
          <w:tcPr>
            <w:tcW w:w="1414" w:type="dxa"/>
            <w:shd w:val="clear" w:color="auto" w:fill="B2A1C7" w:themeFill="accent4" w:themeFillTint="99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551.000</w:t>
            </w:r>
          </w:p>
        </w:tc>
        <w:tc>
          <w:tcPr>
            <w:tcW w:w="1461" w:type="dxa"/>
            <w:shd w:val="clear" w:color="auto" w:fill="B2A1C7" w:themeFill="accent4" w:themeFillTint="99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579.000</w:t>
            </w:r>
          </w:p>
        </w:tc>
        <w:tc>
          <w:tcPr>
            <w:tcW w:w="1409" w:type="dxa"/>
            <w:shd w:val="clear" w:color="auto" w:fill="B2A1C7" w:themeFill="accent4" w:themeFillTint="99"/>
            <w:vAlign w:val="center"/>
          </w:tcPr>
          <w:p w:rsidR="005E3EA4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601.000</w:t>
            </w:r>
          </w:p>
        </w:tc>
      </w:tr>
      <w:tr w:rsidR="00EE302F" w:rsidRPr="00177BBE" w:rsidTr="007F26CC">
        <w:tc>
          <w:tcPr>
            <w:tcW w:w="3130" w:type="dxa"/>
          </w:tcPr>
          <w:p w:rsidR="00EE302F" w:rsidRPr="00EE302F" w:rsidRDefault="00EE302F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Остали приходи корисника буџета</w:t>
            </w:r>
          </w:p>
        </w:tc>
        <w:tc>
          <w:tcPr>
            <w:tcW w:w="1348" w:type="dxa"/>
            <w:vAlign w:val="center"/>
          </w:tcPr>
          <w:p w:rsidR="00EE302F" w:rsidRPr="00EE302F" w:rsidRDefault="00EE302F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36" w:type="dxa"/>
            <w:vAlign w:val="center"/>
          </w:tcPr>
          <w:p w:rsidR="00EE302F" w:rsidRPr="00EE302F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75.510</w:t>
            </w:r>
          </w:p>
        </w:tc>
        <w:tc>
          <w:tcPr>
            <w:tcW w:w="1414" w:type="dxa"/>
            <w:vAlign w:val="center"/>
          </w:tcPr>
          <w:p w:rsidR="00EE302F" w:rsidRPr="00E857AB" w:rsidRDefault="00E857AB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35.000</w:t>
            </w:r>
          </w:p>
        </w:tc>
        <w:tc>
          <w:tcPr>
            <w:tcW w:w="1461" w:type="dxa"/>
            <w:vAlign w:val="center"/>
          </w:tcPr>
          <w:p w:rsidR="00EE302F" w:rsidRPr="00F70269" w:rsidRDefault="00F70269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40.000</w:t>
            </w:r>
          </w:p>
        </w:tc>
        <w:tc>
          <w:tcPr>
            <w:tcW w:w="1409" w:type="dxa"/>
            <w:vAlign w:val="center"/>
          </w:tcPr>
          <w:p w:rsidR="00EE302F" w:rsidRPr="00F70269" w:rsidRDefault="00F70269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42.000</w:t>
            </w:r>
          </w:p>
        </w:tc>
      </w:tr>
      <w:tr w:rsidR="005E3EA4" w:rsidRPr="00177BBE" w:rsidTr="007F26CC">
        <w:tc>
          <w:tcPr>
            <w:tcW w:w="3130" w:type="dxa"/>
          </w:tcPr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УКУПНО (БУЏЕТ+ОСТАЛИ</w:t>
            </w:r>
          </w:p>
          <w:p w:rsidR="005E3EA4" w:rsidRPr="00177BBE" w:rsidRDefault="005E3EA4" w:rsidP="00177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17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ИЗВОРИ):</w:t>
            </w:r>
          </w:p>
        </w:tc>
        <w:tc>
          <w:tcPr>
            <w:tcW w:w="1348" w:type="dxa"/>
            <w:vAlign w:val="center"/>
          </w:tcPr>
          <w:p w:rsidR="005E3EA4" w:rsidRPr="00177BBE" w:rsidRDefault="005E3EA4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1336" w:type="dxa"/>
            <w:vAlign w:val="center"/>
          </w:tcPr>
          <w:p w:rsidR="005E3EA4" w:rsidRPr="00177BBE" w:rsidRDefault="0036669D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685.510</w:t>
            </w:r>
          </w:p>
        </w:tc>
        <w:tc>
          <w:tcPr>
            <w:tcW w:w="1414" w:type="dxa"/>
            <w:vAlign w:val="center"/>
          </w:tcPr>
          <w:p w:rsidR="005E3EA4" w:rsidRPr="00F70269" w:rsidRDefault="00F70269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586.000</w:t>
            </w:r>
          </w:p>
        </w:tc>
        <w:tc>
          <w:tcPr>
            <w:tcW w:w="1461" w:type="dxa"/>
            <w:vAlign w:val="center"/>
          </w:tcPr>
          <w:p w:rsidR="005E3EA4" w:rsidRPr="00F70269" w:rsidRDefault="00F70269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619.000</w:t>
            </w:r>
          </w:p>
        </w:tc>
        <w:tc>
          <w:tcPr>
            <w:tcW w:w="1409" w:type="dxa"/>
            <w:vAlign w:val="center"/>
          </w:tcPr>
          <w:p w:rsidR="005E3EA4" w:rsidRPr="00F70269" w:rsidRDefault="00F70269" w:rsidP="00EE30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643.000</w:t>
            </w:r>
          </w:p>
        </w:tc>
      </w:tr>
    </w:tbl>
    <w:p w:rsidR="00F5007A" w:rsidRPr="00D16CF9" w:rsidRDefault="00F5007A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lastRenderedPageBreak/>
        <w:t>Обзиром да за 2017.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нема података о предвиђеним макроекономским</w:t>
      </w:r>
      <w:r w:rsidR="00D16CF9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D16CF9">
        <w:rPr>
          <w:rFonts w:ascii="Times New Roman" w:hAnsi="Times New Roman" w:cs="Times New Roman"/>
          <w:bCs/>
          <w:sz w:val="22"/>
          <w:szCs w:val="22"/>
        </w:rPr>
        <w:t>кретањима БДП-а, процена за ову годину је рађена на бази кретања ових индикатора за 2016.</w:t>
      </w:r>
      <w:r w:rsidR="00722645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>.</w:t>
      </w:r>
    </w:p>
    <w:p w:rsidR="00F5007A" w:rsidRDefault="00F5007A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Процена буџетских прихода и примања за 2015.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>, као што је видљиво из</w:t>
      </w:r>
      <w:r w:rsidR="00D16CF9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D16CF9">
        <w:rPr>
          <w:rFonts w:ascii="Times New Roman" w:hAnsi="Times New Roman" w:cs="Times New Roman"/>
          <w:bCs/>
          <w:sz w:val="22"/>
          <w:szCs w:val="22"/>
        </w:rPr>
        <w:t xml:space="preserve">табеларног прегледа, </w:t>
      </w:r>
      <w:r w:rsidRPr="00E857AB">
        <w:rPr>
          <w:rFonts w:ascii="Times New Roman" w:hAnsi="Times New Roman" w:cs="Times New Roman"/>
          <w:bCs/>
          <w:sz w:val="22"/>
          <w:szCs w:val="22"/>
        </w:rPr>
        <w:t xml:space="preserve">износи </w:t>
      </w:r>
      <w:r w:rsidR="00E857AB" w:rsidRPr="00E857AB">
        <w:rPr>
          <w:rFonts w:ascii="Times New Roman" w:hAnsi="Times New Roman" w:cs="Times New Roman"/>
          <w:b/>
          <w:bCs/>
          <w:sz w:val="22"/>
          <w:szCs w:val="22"/>
        </w:rPr>
        <w:t>551</w:t>
      </w:r>
      <w:r w:rsidRPr="00E857AB">
        <w:rPr>
          <w:rFonts w:ascii="Times New Roman" w:hAnsi="Times New Roman" w:cs="Times New Roman"/>
          <w:b/>
          <w:bCs/>
          <w:sz w:val="22"/>
          <w:szCs w:val="22"/>
        </w:rPr>
        <w:t>.000,00</w:t>
      </w:r>
      <w:r w:rsidRPr="00D16CF9">
        <w:rPr>
          <w:rFonts w:ascii="Times New Roman" w:hAnsi="Times New Roman" w:cs="Times New Roman"/>
          <w:bCs/>
          <w:sz w:val="22"/>
          <w:szCs w:val="22"/>
        </w:rPr>
        <w:t xml:space="preserve"> динара.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Уколико се на наведени износ укључи</w:t>
      </w:r>
      <w:r w:rsidR="00D16CF9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D16CF9">
        <w:rPr>
          <w:rFonts w:ascii="Times New Roman" w:hAnsi="Times New Roman" w:cs="Times New Roman"/>
          <w:bCs/>
          <w:sz w:val="22"/>
          <w:szCs w:val="22"/>
        </w:rPr>
        <w:t>процена осталих прихода за 2015.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у износу од </w:t>
      </w:r>
      <w:r w:rsidR="00F70269">
        <w:rPr>
          <w:rFonts w:ascii="Times New Roman" w:hAnsi="Times New Roman" w:cs="Times New Roman"/>
          <w:bCs/>
          <w:sz w:val="22"/>
          <w:szCs w:val="22"/>
        </w:rPr>
        <w:t>35</w:t>
      </w:r>
      <w:r w:rsidRPr="00D16CF9">
        <w:rPr>
          <w:rFonts w:ascii="Times New Roman" w:hAnsi="Times New Roman" w:cs="Times New Roman"/>
          <w:bCs/>
          <w:sz w:val="22"/>
          <w:szCs w:val="22"/>
        </w:rPr>
        <w:t>.000,00 динара, укупно</w:t>
      </w:r>
      <w:r w:rsidR="00D16CF9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D16CF9">
        <w:rPr>
          <w:rFonts w:ascii="Times New Roman" w:hAnsi="Times New Roman" w:cs="Times New Roman"/>
          <w:bCs/>
          <w:sz w:val="22"/>
          <w:szCs w:val="22"/>
        </w:rPr>
        <w:t xml:space="preserve">пројектовани приходи и примања за 2015.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износе </w:t>
      </w:r>
      <w:r w:rsidR="00F70269" w:rsidRPr="00F70269">
        <w:rPr>
          <w:rFonts w:ascii="Times New Roman" w:hAnsi="Times New Roman" w:cs="Times New Roman"/>
          <w:b/>
          <w:bCs/>
          <w:sz w:val="22"/>
          <w:szCs w:val="22"/>
        </w:rPr>
        <w:t>586</w:t>
      </w:r>
      <w:r w:rsidRPr="00F70269">
        <w:rPr>
          <w:rFonts w:ascii="Times New Roman" w:hAnsi="Times New Roman" w:cs="Times New Roman"/>
          <w:b/>
          <w:bCs/>
          <w:sz w:val="22"/>
          <w:szCs w:val="22"/>
        </w:rPr>
        <w:t>.000,00 динара</w:t>
      </w:r>
      <w:r w:rsidRPr="00D16CF9">
        <w:rPr>
          <w:rFonts w:ascii="Times New Roman" w:hAnsi="Times New Roman" w:cs="Times New Roman"/>
          <w:bCs/>
          <w:sz w:val="22"/>
          <w:szCs w:val="22"/>
        </w:rPr>
        <w:t>.</w:t>
      </w:r>
    </w:p>
    <w:p w:rsidR="00FE0069" w:rsidRPr="00FE0069" w:rsidRDefault="00FE0069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Cs/>
          <w:sz w:val="22"/>
          <w:szCs w:val="22"/>
          <w:lang w:val="sr-Cyrl-CS"/>
        </w:rPr>
        <w:t>Пад јавних прихода резултат је превасходно најаве умањења ненаменских трансфера јединицма локалне самоуправе,  смањења зарада у јавном сектору као и очекиваног пада укупног обима донације које се по посебним програмима и пројектима реализују у општинама.</w:t>
      </w:r>
    </w:p>
    <w:p w:rsidR="00F5007A" w:rsidRPr="00D16CF9" w:rsidRDefault="00F5007A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Потребно је напоменути да у наведену процену средстава за 2015.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нису</w:t>
      </w:r>
      <w:r w:rsidR="00D16CF9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D16CF9">
        <w:rPr>
          <w:rFonts w:ascii="Times New Roman" w:hAnsi="Times New Roman" w:cs="Times New Roman"/>
          <w:bCs/>
          <w:sz w:val="22"/>
          <w:szCs w:val="22"/>
        </w:rPr>
        <w:t>укључени евентуални трансфери од надлежних Министарства уколико се одобре средства за</w:t>
      </w:r>
      <w:r w:rsidR="00D16CF9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D16CF9">
        <w:rPr>
          <w:rFonts w:ascii="Times New Roman" w:hAnsi="Times New Roman" w:cs="Times New Roman"/>
          <w:bCs/>
          <w:sz w:val="22"/>
          <w:szCs w:val="22"/>
        </w:rPr>
        <w:t>финансирање пројеката за која корисници буду конкурисали.</w:t>
      </w:r>
    </w:p>
    <w:p w:rsidR="00F5007A" w:rsidRPr="00D16CF9" w:rsidRDefault="00F5007A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Поред укупних прихода и примања у 2013.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2014.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у претходној табели су</w:t>
      </w:r>
      <w:r w:rsidR="00D16CF9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D16CF9">
        <w:rPr>
          <w:rFonts w:ascii="Times New Roman" w:hAnsi="Times New Roman" w:cs="Times New Roman"/>
          <w:bCs/>
          <w:sz w:val="22"/>
          <w:szCs w:val="22"/>
        </w:rPr>
        <w:t>исказана и пренета неутрошена средства из ранијих година, али иста нису приказана у</w:t>
      </w:r>
      <w:r w:rsidR="00D16CF9" w:rsidRPr="00D16C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D16CF9">
        <w:rPr>
          <w:rFonts w:ascii="Times New Roman" w:hAnsi="Times New Roman" w:cs="Times New Roman"/>
          <w:bCs/>
          <w:sz w:val="22"/>
          <w:szCs w:val="22"/>
        </w:rPr>
        <w:t xml:space="preserve">пројекцији прихода за период од 2015.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до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 xml:space="preserve"> 2017. </w:t>
      </w:r>
      <w:proofErr w:type="gramStart"/>
      <w:r w:rsidRPr="00D16CF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D16CF9">
        <w:rPr>
          <w:rFonts w:ascii="Times New Roman" w:hAnsi="Times New Roman" w:cs="Times New Roman"/>
          <w:bCs/>
          <w:sz w:val="22"/>
          <w:szCs w:val="22"/>
        </w:rPr>
        <w:t>.</w:t>
      </w:r>
    </w:p>
    <w:p w:rsidR="00F5007A" w:rsidRPr="00A41E89" w:rsidRDefault="00F5007A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A41E89">
        <w:rPr>
          <w:rFonts w:ascii="Times New Roman" w:hAnsi="Times New Roman" w:cs="Times New Roman"/>
          <w:bCs/>
          <w:sz w:val="22"/>
          <w:szCs w:val="22"/>
        </w:rPr>
        <w:t>У протеклом периоду формирала су се значајна неутрошена средства која се углавном</w:t>
      </w:r>
      <w:r w:rsidR="00D16CF9" w:rsidRPr="00A41E8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A41E89">
        <w:rPr>
          <w:rFonts w:ascii="Times New Roman" w:hAnsi="Times New Roman" w:cs="Times New Roman"/>
          <w:bCs/>
          <w:sz w:val="22"/>
          <w:szCs w:val="22"/>
        </w:rPr>
        <w:t>пребацују у наредни период.</w:t>
      </w:r>
      <w:proofErr w:type="gramEnd"/>
      <w:r w:rsidRPr="00A41E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44FD4">
        <w:rPr>
          <w:rFonts w:ascii="Times New Roman" w:hAnsi="Times New Roman" w:cs="Times New Roman"/>
          <w:bCs/>
          <w:sz w:val="22"/>
          <w:szCs w:val="22"/>
          <w:lang w:val="sr-Cyrl-CS"/>
        </w:rPr>
        <w:t>У</w:t>
      </w:r>
      <w:r w:rsidRPr="00A41E89">
        <w:rPr>
          <w:rFonts w:ascii="Times New Roman" w:hAnsi="Times New Roman" w:cs="Times New Roman"/>
          <w:bCs/>
          <w:sz w:val="22"/>
          <w:szCs w:val="22"/>
        </w:rPr>
        <w:t xml:space="preserve"> пројекцији за 2015-2017. </w:t>
      </w:r>
      <w:proofErr w:type="gramStart"/>
      <w:r w:rsidRPr="00A41E8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A41E89">
        <w:rPr>
          <w:rFonts w:ascii="Times New Roman" w:hAnsi="Times New Roman" w:cs="Times New Roman"/>
          <w:bCs/>
          <w:sz w:val="22"/>
          <w:szCs w:val="22"/>
        </w:rPr>
        <w:t xml:space="preserve"> приказани су само текући</w:t>
      </w:r>
      <w:r w:rsidR="00A41E89" w:rsidRPr="00A41E8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A41E89">
        <w:rPr>
          <w:rFonts w:ascii="Times New Roman" w:hAnsi="Times New Roman" w:cs="Times New Roman"/>
          <w:bCs/>
          <w:sz w:val="22"/>
          <w:szCs w:val="22"/>
        </w:rPr>
        <w:t>приходи и примања.</w:t>
      </w:r>
    </w:p>
    <w:p w:rsidR="00F5007A" w:rsidRPr="00A41E89" w:rsidRDefault="00F5007A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A41E89">
        <w:rPr>
          <w:rFonts w:ascii="Times New Roman" w:hAnsi="Times New Roman" w:cs="Times New Roman"/>
          <w:bCs/>
          <w:sz w:val="22"/>
          <w:szCs w:val="22"/>
        </w:rPr>
        <w:t>Такође, процена обима буџета за 2015.</w:t>
      </w:r>
      <w:proofErr w:type="gramEnd"/>
      <w:r w:rsidRPr="00A41E8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A41E8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A41E89">
        <w:rPr>
          <w:rFonts w:ascii="Times New Roman" w:hAnsi="Times New Roman" w:cs="Times New Roman"/>
          <w:bCs/>
          <w:sz w:val="22"/>
          <w:szCs w:val="22"/>
        </w:rPr>
        <w:t xml:space="preserve"> и наредне две године извршена је под</w:t>
      </w:r>
      <w:r w:rsidR="00A41E89" w:rsidRPr="00A41E8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A41E89">
        <w:rPr>
          <w:rFonts w:ascii="Times New Roman" w:hAnsi="Times New Roman" w:cs="Times New Roman"/>
          <w:bCs/>
          <w:sz w:val="22"/>
          <w:szCs w:val="22"/>
        </w:rPr>
        <w:t xml:space="preserve">условом да се буџет </w:t>
      </w:r>
      <w:r w:rsidR="00A41E89" w:rsidRPr="00A41E89">
        <w:rPr>
          <w:rFonts w:ascii="Times New Roman" w:hAnsi="Times New Roman" w:cs="Times New Roman"/>
          <w:bCs/>
          <w:sz w:val="22"/>
          <w:szCs w:val="22"/>
          <w:lang w:val="sr-Cyrl-CS"/>
        </w:rPr>
        <w:t>Општине Владичин Хан</w:t>
      </w:r>
      <w:r w:rsidRPr="00A41E89">
        <w:rPr>
          <w:rFonts w:ascii="Times New Roman" w:hAnsi="Times New Roman" w:cs="Times New Roman"/>
          <w:bCs/>
          <w:sz w:val="22"/>
          <w:szCs w:val="22"/>
        </w:rPr>
        <w:t xml:space="preserve"> додатно не задужује код пословних банака.</w:t>
      </w:r>
    </w:p>
    <w:p w:rsidR="00F5007A" w:rsidRPr="00A41E89" w:rsidRDefault="00F5007A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A41E89">
        <w:rPr>
          <w:rFonts w:ascii="Times New Roman" w:hAnsi="Times New Roman" w:cs="Times New Roman"/>
          <w:bCs/>
          <w:sz w:val="22"/>
          <w:szCs w:val="22"/>
        </w:rPr>
        <w:t>При дефинисању буџетске потрошње из пројектованих прихода за наредну годину, у</w:t>
      </w:r>
      <w:r w:rsidR="00A41E89" w:rsidRPr="00A41E8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A41E89">
        <w:rPr>
          <w:rFonts w:ascii="Times New Roman" w:hAnsi="Times New Roman" w:cs="Times New Roman"/>
          <w:bCs/>
          <w:sz w:val="22"/>
          <w:szCs w:val="22"/>
        </w:rPr>
        <w:t>обзир се мора узети износ ануитета по кредитном задужењу који доспева на наплату у 2015.</w:t>
      </w:r>
      <w:proofErr w:type="gramEnd"/>
      <w:r w:rsidR="00A41E89" w:rsidRPr="00A41E8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proofErr w:type="gramStart"/>
      <w:r w:rsidRPr="00A41E89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A41E89">
        <w:rPr>
          <w:rFonts w:ascii="Times New Roman" w:hAnsi="Times New Roman" w:cs="Times New Roman"/>
          <w:bCs/>
          <w:sz w:val="22"/>
          <w:szCs w:val="22"/>
        </w:rPr>
        <w:t xml:space="preserve">, а исти износи око </w:t>
      </w:r>
      <w:r w:rsidR="007A169A">
        <w:rPr>
          <w:rFonts w:ascii="Times New Roman" w:hAnsi="Times New Roman" w:cs="Times New Roman"/>
          <w:bCs/>
          <w:sz w:val="22"/>
          <w:szCs w:val="22"/>
          <w:lang w:val="sr-Cyrl-CS"/>
        </w:rPr>
        <w:t>14,</w:t>
      </w:r>
      <w:r w:rsidR="00515F62">
        <w:rPr>
          <w:rFonts w:ascii="Times New Roman" w:hAnsi="Times New Roman" w:cs="Times New Roman"/>
          <w:bCs/>
          <w:sz w:val="22"/>
          <w:szCs w:val="22"/>
          <w:lang w:val="sr-Cyrl-CS"/>
        </w:rPr>
        <w:t>8</w:t>
      </w:r>
      <w:r w:rsidR="007A16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A41E89">
        <w:rPr>
          <w:rFonts w:ascii="Times New Roman" w:hAnsi="Times New Roman" w:cs="Times New Roman"/>
          <w:bCs/>
          <w:sz w:val="22"/>
          <w:szCs w:val="22"/>
        </w:rPr>
        <w:t xml:space="preserve"> милиона динара.</w:t>
      </w:r>
    </w:p>
    <w:p w:rsidR="00F5007A" w:rsidRDefault="00F5007A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A41E89">
        <w:rPr>
          <w:rFonts w:ascii="Times New Roman" w:hAnsi="Times New Roman" w:cs="Times New Roman"/>
          <w:bCs/>
          <w:sz w:val="22"/>
          <w:szCs w:val="22"/>
        </w:rPr>
        <w:t>Из наведених средстава финансираће се редовна потрошња буџетских корисника у</w:t>
      </w:r>
      <w:r w:rsidR="00A41E89" w:rsidRPr="00A41E8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A41E89">
        <w:rPr>
          <w:rFonts w:ascii="Times New Roman" w:hAnsi="Times New Roman" w:cs="Times New Roman"/>
          <w:bCs/>
          <w:sz w:val="22"/>
          <w:szCs w:val="22"/>
        </w:rPr>
        <w:t>2015.</w:t>
      </w:r>
      <w:proofErr w:type="gramEnd"/>
      <w:r w:rsidRPr="00A41E8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A41E89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A41E89">
        <w:rPr>
          <w:rFonts w:ascii="Times New Roman" w:hAnsi="Times New Roman" w:cs="Times New Roman"/>
          <w:bCs/>
          <w:sz w:val="22"/>
          <w:szCs w:val="22"/>
        </w:rPr>
        <w:t xml:space="preserve"> наредне две године, расходи предвиђени програмима коришћења наменских</w:t>
      </w:r>
      <w:r w:rsidR="00A41E89" w:rsidRPr="00A41E8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A41E89">
        <w:rPr>
          <w:rFonts w:ascii="Times New Roman" w:hAnsi="Times New Roman" w:cs="Times New Roman"/>
          <w:bCs/>
          <w:sz w:val="22"/>
          <w:szCs w:val="22"/>
        </w:rPr>
        <w:t>средстава и измирење вишегодишњих обавеза.</w:t>
      </w:r>
    </w:p>
    <w:p w:rsidR="00294CB2" w:rsidRPr="00294CB2" w:rsidRDefault="00294CB2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294CB2" w:rsidRPr="00F5007A" w:rsidRDefault="00294CB2" w:rsidP="0029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F5007A">
        <w:rPr>
          <w:rFonts w:ascii="Times New Roman" w:hAnsi="Times New Roman" w:cs="Times New Roman"/>
          <w:b/>
          <w:bCs/>
          <w:sz w:val="22"/>
          <w:szCs w:val="22"/>
        </w:rPr>
        <w:t>Табела-</w:t>
      </w:r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Пројекција расхода и издатака у периоду од 2015.</w:t>
      </w:r>
      <w:proofErr w:type="gramEnd"/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gramStart"/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до</w:t>
      </w:r>
      <w:proofErr w:type="gramEnd"/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2017.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>г</w:t>
      </w:r>
      <w:r w:rsidRPr="00F50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одине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CS"/>
        </w:rPr>
        <w:t xml:space="preserve"> </w:t>
      </w:r>
      <w:r w:rsidRPr="00F5007A">
        <w:rPr>
          <w:rFonts w:ascii="Times New Roman" w:hAnsi="Times New Roman" w:cs="Times New Roman"/>
          <w:b/>
          <w:bCs/>
          <w:sz w:val="16"/>
          <w:szCs w:val="16"/>
        </w:rPr>
        <w:t xml:space="preserve"> ( у 000</w:t>
      </w:r>
      <w:r>
        <w:rPr>
          <w:rFonts w:ascii="Times New Roman" w:hAnsi="Times New Roman" w:cs="Times New Roman"/>
          <w:b/>
          <w:bCs/>
          <w:sz w:val="16"/>
          <w:szCs w:val="16"/>
          <w:lang w:val="sr-Cyrl-CS"/>
        </w:rPr>
        <w:t xml:space="preserve">  </w:t>
      </w:r>
      <w:r w:rsidRPr="00F5007A">
        <w:rPr>
          <w:rFonts w:ascii="Times New Roman" w:hAnsi="Times New Roman" w:cs="Times New Roman"/>
          <w:b/>
          <w:bCs/>
          <w:sz w:val="16"/>
          <w:szCs w:val="16"/>
        </w:rPr>
        <w:t>динара)</w:t>
      </w:r>
    </w:p>
    <w:p w:rsidR="00A41E89" w:rsidRDefault="00A41E89" w:rsidP="00D1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tbl>
      <w:tblPr>
        <w:tblStyle w:val="TableGrid"/>
        <w:tblW w:w="9812" w:type="dxa"/>
        <w:tblLook w:val="04A0"/>
      </w:tblPr>
      <w:tblGrid>
        <w:gridCol w:w="3313"/>
        <w:gridCol w:w="1340"/>
        <w:gridCol w:w="1157"/>
        <w:gridCol w:w="1346"/>
        <w:gridCol w:w="1346"/>
        <w:gridCol w:w="1310"/>
      </w:tblGrid>
      <w:tr w:rsidR="00504638" w:rsidTr="0062473D">
        <w:tc>
          <w:tcPr>
            <w:tcW w:w="3438" w:type="dxa"/>
          </w:tcPr>
          <w:p w:rsidR="00504638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РАСХОДИ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 ИЗДАЦИ</w:t>
            </w:r>
          </w:p>
          <w:p w:rsidR="00504638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 у 000</w:t>
            </w: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динара)</w:t>
            </w:r>
          </w:p>
        </w:tc>
        <w:tc>
          <w:tcPr>
            <w:tcW w:w="1350" w:type="dxa"/>
            <w:vAlign w:val="center"/>
          </w:tcPr>
          <w:p w:rsidR="00504638" w:rsidRPr="00504638" w:rsidRDefault="00504638" w:rsidP="00504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2013. остварење</w:t>
            </w:r>
          </w:p>
        </w:tc>
        <w:tc>
          <w:tcPr>
            <w:tcW w:w="1170" w:type="dxa"/>
            <w:vAlign w:val="center"/>
          </w:tcPr>
          <w:p w:rsidR="00504638" w:rsidRPr="00504638" w:rsidRDefault="00504638" w:rsidP="00504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2014. процена</w:t>
            </w:r>
          </w:p>
        </w:tc>
        <w:tc>
          <w:tcPr>
            <w:tcW w:w="1350" w:type="dxa"/>
            <w:vAlign w:val="center"/>
          </w:tcPr>
          <w:p w:rsidR="00504638" w:rsidRPr="00504638" w:rsidRDefault="00504638" w:rsidP="00504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2015. пројекција</w:t>
            </w:r>
          </w:p>
        </w:tc>
        <w:tc>
          <w:tcPr>
            <w:tcW w:w="1350" w:type="dxa"/>
          </w:tcPr>
          <w:p w:rsidR="00504638" w:rsidRPr="00504638" w:rsidRDefault="00504638" w:rsidP="00504638">
            <w:pPr>
              <w:jc w:val="center"/>
              <w:rPr>
                <w:b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2016. пројекција</w:t>
            </w:r>
          </w:p>
        </w:tc>
        <w:tc>
          <w:tcPr>
            <w:tcW w:w="1154" w:type="dxa"/>
          </w:tcPr>
          <w:p w:rsidR="00504638" w:rsidRPr="00504638" w:rsidRDefault="00504638" w:rsidP="00504638">
            <w:pPr>
              <w:jc w:val="center"/>
              <w:rPr>
                <w:b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2017. пројекција</w:t>
            </w: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Укупни расходи и издаци</w:t>
            </w:r>
          </w:p>
        </w:tc>
        <w:tc>
          <w:tcPr>
            <w:tcW w:w="1350" w:type="dxa"/>
            <w:vAlign w:val="center"/>
          </w:tcPr>
          <w:p w:rsidR="00A41E89" w:rsidRPr="00504638" w:rsidRDefault="00A41E89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A41E89" w:rsidRPr="00504638" w:rsidRDefault="00A41E89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A41E89" w:rsidRPr="00504638" w:rsidRDefault="00A41E89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A41E89" w:rsidRPr="00504638" w:rsidRDefault="00A41E89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vAlign w:val="center"/>
          </w:tcPr>
          <w:p w:rsidR="00A41E89" w:rsidRPr="00504638" w:rsidRDefault="00A41E89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 Текући расходи (1.1</w:t>
            </w:r>
            <w:proofErr w:type="gramStart"/>
            <w:r w:rsidRPr="0050463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.+</w:t>
            </w:r>
            <w:proofErr w:type="gramEnd"/>
            <w:r w:rsidRPr="0050463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…+1.7.)</w:t>
            </w:r>
          </w:p>
        </w:tc>
        <w:tc>
          <w:tcPr>
            <w:tcW w:w="1350" w:type="dxa"/>
            <w:vAlign w:val="center"/>
          </w:tcPr>
          <w:p w:rsidR="00A41E89" w:rsidRPr="00466294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4662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499.219</w:t>
            </w:r>
          </w:p>
        </w:tc>
        <w:tc>
          <w:tcPr>
            <w:tcW w:w="1170" w:type="dxa"/>
            <w:vAlign w:val="center"/>
          </w:tcPr>
          <w:p w:rsidR="00A41E89" w:rsidRPr="00466294" w:rsidRDefault="001A267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509.420</w:t>
            </w:r>
          </w:p>
        </w:tc>
        <w:tc>
          <w:tcPr>
            <w:tcW w:w="1350" w:type="dxa"/>
            <w:vAlign w:val="center"/>
          </w:tcPr>
          <w:p w:rsidR="00A41E89" w:rsidRPr="00466294" w:rsidRDefault="00B7170E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49</w:t>
            </w:r>
            <w:r w:rsidR="00D71E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.300</w:t>
            </w:r>
          </w:p>
        </w:tc>
        <w:tc>
          <w:tcPr>
            <w:tcW w:w="1350" w:type="dxa"/>
            <w:vAlign w:val="center"/>
          </w:tcPr>
          <w:p w:rsidR="00A41E89" w:rsidRPr="00466294" w:rsidRDefault="00B7170E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48</w:t>
            </w:r>
            <w:r w:rsidR="00D71E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.350</w:t>
            </w:r>
          </w:p>
        </w:tc>
        <w:tc>
          <w:tcPr>
            <w:tcW w:w="1154" w:type="dxa"/>
            <w:vAlign w:val="center"/>
          </w:tcPr>
          <w:p w:rsidR="00A41E89" w:rsidRPr="00466294" w:rsidRDefault="001877CB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4</w:t>
            </w:r>
            <w:r w:rsidR="00D71E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84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.000</w:t>
            </w: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1.1. Расходи за запослене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138.787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141.920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D71E98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D71E98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48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154" w:type="dxa"/>
            <w:vAlign w:val="center"/>
          </w:tcPr>
          <w:p w:rsidR="00A41E89" w:rsidRPr="00504638" w:rsidRDefault="00B7170E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D71E98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1.2. Коришћење роба и услуга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148.350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181.400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170.000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B717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160.000</w:t>
            </w:r>
          </w:p>
        </w:tc>
        <w:tc>
          <w:tcPr>
            <w:tcW w:w="1154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160.000</w:t>
            </w: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1.3. Отплата камата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4.997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3.200</w:t>
            </w:r>
          </w:p>
        </w:tc>
        <w:tc>
          <w:tcPr>
            <w:tcW w:w="1350" w:type="dxa"/>
            <w:vAlign w:val="center"/>
          </w:tcPr>
          <w:p w:rsidR="00A41E89" w:rsidRPr="00504638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1.300</w:t>
            </w:r>
          </w:p>
        </w:tc>
        <w:tc>
          <w:tcPr>
            <w:tcW w:w="1350" w:type="dxa"/>
            <w:vAlign w:val="center"/>
          </w:tcPr>
          <w:p w:rsidR="00A41E89" w:rsidRPr="00504638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350</w:t>
            </w:r>
          </w:p>
        </w:tc>
        <w:tc>
          <w:tcPr>
            <w:tcW w:w="1154" w:type="dxa"/>
            <w:vAlign w:val="center"/>
          </w:tcPr>
          <w:p w:rsidR="00A41E89" w:rsidRPr="00504638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</w:t>
            </w: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1.4. Субвенције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62.832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55.200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50.000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45.000</w:t>
            </w:r>
          </w:p>
        </w:tc>
        <w:tc>
          <w:tcPr>
            <w:tcW w:w="1154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42.000</w:t>
            </w:r>
          </w:p>
        </w:tc>
      </w:tr>
      <w:tr w:rsidR="00A41E89" w:rsidTr="00504638">
        <w:tc>
          <w:tcPr>
            <w:tcW w:w="3438" w:type="dxa"/>
          </w:tcPr>
          <w:p w:rsidR="00504638" w:rsidRPr="00504638" w:rsidRDefault="00504638" w:rsidP="005046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1.5. Донације и трансфери</w:t>
            </w:r>
          </w:p>
          <w:p w:rsidR="00A41E89" w:rsidRPr="00504638" w:rsidRDefault="00504638" w:rsidP="005046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осталим нивоима власти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87.934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71.460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B717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74.000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75.000</w:t>
            </w:r>
          </w:p>
        </w:tc>
        <w:tc>
          <w:tcPr>
            <w:tcW w:w="1154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77.000</w:t>
            </w: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1.6. Социјална помоћ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13.895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15.040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15.000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16.000</w:t>
            </w:r>
          </w:p>
        </w:tc>
        <w:tc>
          <w:tcPr>
            <w:tcW w:w="1154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16.000</w:t>
            </w:r>
          </w:p>
        </w:tc>
      </w:tr>
      <w:tr w:rsidR="00A41E89" w:rsidTr="00504638">
        <w:tc>
          <w:tcPr>
            <w:tcW w:w="3438" w:type="dxa"/>
          </w:tcPr>
          <w:p w:rsidR="00A41E89" w:rsidRPr="00466294" w:rsidRDefault="00504638" w:rsidP="00466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1.7. Остали </w:t>
            </w:r>
            <w:r w:rsidR="0046629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CS"/>
              </w:rPr>
              <w:t>расходи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42.424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28.000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25.000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25.000</w:t>
            </w:r>
          </w:p>
        </w:tc>
        <w:tc>
          <w:tcPr>
            <w:tcW w:w="1154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25.000</w:t>
            </w: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1.8. Средства резерве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13.200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12.000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12.000</w:t>
            </w:r>
          </w:p>
        </w:tc>
        <w:tc>
          <w:tcPr>
            <w:tcW w:w="1154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13.000</w:t>
            </w:r>
          </w:p>
        </w:tc>
      </w:tr>
      <w:tr w:rsidR="00A41E89" w:rsidTr="00504638">
        <w:tc>
          <w:tcPr>
            <w:tcW w:w="3438" w:type="dxa"/>
          </w:tcPr>
          <w:p w:rsidR="00A41E89" w:rsidRPr="00504638" w:rsidRDefault="00504638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2. Капитални издаци</w:t>
            </w:r>
          </w:p>
        </w:tc>
        <w:tc>
          <w:tcPr>
            <w:tcW w:w="1350" w:type="dxa"/>
            <w:vAlign w:val="center"/>
          </w:tcPr>
          <w:p w:rsidR="00A41E89" w:rsidRPr="00466294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39.965</w:t>
            </w:r>
          </w:p>
        </w:tc>
        <w:tc>
          <w:tcPr>
            <w:tcW w:w="1170" w:type="dxa"/>
            <w:vAlign w:val="center"/>
          </w:tcPr>
          <w:p w:rsidR="00A41E89" w:rsidRPr="00466294" w:rsidRDefault="001A267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75.680</w:t>
            </w:r>
          </w:p>
        </w:tc>
        <w:tc>
          <w:tcPr>
            <w:tcW w:w="1350" w:type="dxa"/>
            <w:vAlign w:val="center"/>
          </w:tcPr>
          <w:p w:rsidR="00A41E89" w:rsidRPr="00466294" w:rsidRDefault="00D71E98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80</w:t>
            </w:r>
            <w:r w:rsidR="00B717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.200</w:t>
            </w:r>
          </w:p>
        </w:tc>
        <w:tc>
          <w:tcPr>
            <w:tcW w:w="1350" w:type="dxa"/>
            <w:vAlign w:val="center"/>
          </w:tcPr>
          <w:p w:rsidR="00A41E89" w:rsidRPr="00466294" w:rsidRDefault="00D51587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</w:t>
            </w:r>
            <w:r w:rsidR="00D71E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.950</w:t>
            </w:r>
          </w:p>
        </w:tc>
        <w:tc>
          <w:tcPr>
            <w:tcW w:w="1154" w:type="dxa"/>
            <w:vAlign w:val="center"/>
          </w:tcPr>
          <w:p w:rsidR="00A41E89" w:rsidRPr="00466294" w:rsidRDefault="001877CB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</w:t>
            </w:r>
            <w:r w:rsidR="00D71E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.000</w:t>
            </w:r>
          </w:p>
        </w:tc>
      </w:tr>
      <w:tr w:rsidR="00A41E89" w:rsidTr="00504638">
        <w:tc>
          <w:tcPr>
            <w:tcW w:w="3438" w:type="dxa"/>
          </w:tcPr>
          <w:p w:rsidR="00A41E89" w:rsidRPr="00466294" w:rsidRDefault="00504638" w:rsidP="004662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2.1. </w:t>
            </w:r>
            <w:r w:rsidR="0046629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CS"/>
              </w:rPr>
              <w:t>Основна средства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27.087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60.680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</w:t>
            </w:r>
            <w:r w:rsidR="00D71E98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.200</w:t>
            </w:r>
          </w:p>
        </w:tc>
        <w:tc>
          <w:tcPr>
            <w:tcW w:w="1350" w:type="dxa"/>
            <w:vAlign w:val="center"/>
          </w:tcPr>
          <w:p w:rsidR="00A41E89" w:rsidRPr="00504638" w:rsidRDefault="00D51587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D71E98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.950</w:t>
            </w:r>
          </w:p>
        </w:tc>
        <w:tc>
          <w:tcPr>
            <w:tcW w:w="1154" w:type="dxa"/>
            <w:vAlign w:val="center"/>
          </w:tcPr>
          <w:p w:rsidR="00A41E89" w:rsidRPr="00504638" w:rsidRDefault="001877CB" w:rsidP="00D71E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D71E98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</w:tr>
      <w:tr w:rsidR="00A41E89" w:rsidTr="00504638">
        <w:tc>
          <w:tcPr>
            <w:tcW w:w="3438" w:type="dxa"/>
          </w:tcPr>
          <w:p w:rsidR="00A41E89" w:rsidRPr="00466294" w:rsidRDefault="00504638" w:rsidP="00466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2.2. </w:t>
            </w:r>
            <w:r w:rsidR="0046629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CS"/>
              </w:rPr>
              <w:t>Природна имовина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12.878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15.000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15.000</w:t>
            </w:r>
          </w:p>
        </w:tc>
        <w:tc>
          <w:tcPr>
            <w:tcW w:w="1350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7.000</w:t>
            </w:r>
          </w:p>
        </w:tc>
        <w:tc>
          <w:tcPr>
            <w:tcW w:w="1154" w:type="dxa"/>
            <w:vAlign w:val="center"/>
          </w:tcPr>
          <w:p w:rsidR="00A41E89" w:rsidRPr="00504638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3.000</w:t>
            </w:r>
          </w:p>
        </w:tc>
      </w:tr>
      <w:tr w:rsidR="00A41E89" w:rsidTr="00504638">
        <w:tc>
          <w:tcPr>
            <w:tcW w:w="3438" w:type="dxa"/>
          </w:tcPr>
          <w:p w:rsidR="00504638" w:rsidRPr="00504638" w:rsidRDefault="00504638" w:rsidP="005046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0463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3. Набавка финансијске</w:t>
            </w:r>
          </w:p>
          <w:p w:rsidR="00A41E89" w:rsidRPr="00504638" w:rsidRDefault="00504638" w:rsidP="005046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имовине</w:t>
            </w:r>
          </w:p>
        </w:tc>
        <w:tc>
          <w:tcPr>
            <w:tcW w:w="1350" w:type="dxa"/>
            <w:vAlign w:val="center"/>
          </w:tcPr>
          <w:p w:rsidR="00A41E89" w:rsidRPr="00466294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4662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21.862</w:t>
            </w:r>
          </w:p>
        </w:tc>
        <w:tc>
          <w:tcPr>
            <w:tcW w:w="1170" w:type="dxa"/>
            <w:vAlign w:val="center"/>
          </w:tcPr>
          <w:p w:rsidR="00A41E89" w:rsidRPr="00466294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24.900</w:t>
            </w:r>
          </w:p>
        </w:tc>
        <w:tc>
          <w:tcPr>
            <w:tcW w:w="1350" w:type="dxa"/>
            <w:vAlign w:val="center"/>
          </w:tcPr>
          <w:p w:rsidR="00A41E89" w:rsidRPr="00466294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13.500</w:t>
            </w:r>
          </w:p>
        </w:tc>
        <w:tc>
          <w:tcPr>
            <w:tcW w:w="1350" w:type="dxa"/>
            <w:vAlign w:val="center"/>
          </w:tcPr>
          <w:p w:rsidR="00A41E89" w:rsidRPr="00466294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6.700</w:t>
            </w:r>
          </w:p>
        </w:tc>
        <w:tc>
          <w:tcPr>
            <w:tcW w:w="1154" w:type="dxa"/>
            <w:vAlign w:val="center"/>
          </w:tcPr>
          <w:p w:rsidR="00A41E89" w:rsidRPr="00466294" w:rsidRDefault="00B7170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0</w:t>
            </w:r>
          </w:p>
        </w:tc>
      </w:tr>
      <w:tr w:rsidR="00A41E89" w:rsidTr="00504638">
        <w:tc>
          <w:tcPr>
            <w:tcW w:w="3438" w:type="dxa"/>
          </w:tcPr>
          <w:p w:rsidR="00A41E89" w:rsidRPr="00466294" w:rsidRDefault="00466294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sr-Cyrl-CS"/>
              </w:rPr>
            </w:pPr>
            <w:r w:rsidRPr="00466294">
              <w:rPr>
                <w:rFonts w:ascii="Times New Roman" w:hAnsi="Times New Roman" w:cs="Times New Roman"/>
                <w:bCs/>
                <w:i/>
                <w:sz w:val="22"/>
                <w:szCs w:val="22"/>
                <w:lang w:val="sr-Cyrl-CS"/>
              </w:rPr>
              <w:t>3.1. Отплата главнице</w:t>
            </w:r>
          </w:p>
        </w:tc>
        <w:tc>
          <w:tcPr>
            <w:tcW w:w="135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21.862</w:t>
            </w:r>
          </w:p>
        </w:tc>
        <w:tc>
          <w:tcPr>
            <w:tcW w:w="1170" w:type="dxa"/>
            <w:vAlign w:val="center"/>
          </w:tcPr>
          <w:p w:rsidR="00A41E89" w:rsidRPr="00504638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24.900</w:t>
            </w:r>
          </w:p>
        </w:tc>
        <w:tc>
          <w:tcPr>
            <w:tcW w:w="1350" w:type="dxa"/>
            <w:vAlign w:val="center"/>
          </w:tcPr>
          <w:p w:rsidR="00A41E89" w:rsidRPr="00504638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13.500</w:t>
            </w:r>
          </w:p>
        </w:tc>
        <w:tc>
          <w:tcPr>
            <w:tcW w:w="1350" w:type="dxa"/>
            <w:vAlign w:val="center"/>
          </w:tcPr>
          <w:p w:rsidR="00A41E89" w:rsidRPr="00504638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6.700</w:t>
            </w:r>
          </w:p>
        </w:tc>
        <w:tc>
          <w:tcPr>
            <w:tcW w:w="1154" w:type="dxa"/>
            <w:vAlign w:val="center"/>
          </w:tcPr>
          <w:p w:rsidR="00A41E89" w:rsidRPr="00504638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</w:t>
            </w:r>
          </w:p>
        </w:tc>
      </w:tr>
      <w:tr w:rsidR="00466294" w:rsidTr="00504638">
        <w:tc>
          <w:tcPr>
            <w:tcW w:w="3438" w:type="dxa"/>
          </w:tcPr>
          <w:p w:rsidR="00466294" w:rsidRPr="00466294" w:rsidRDefault="00466294" w:rsidP="00D16C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4662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УКУПНО</w:t>
            </w:r>
            <w:r w:rsidR="001A26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(</w:t>
            </w:r>
            <w:r w:rsidR="001A267E" w:rsidRPr="001A267E">
              <w:rPr>
                <w:rFonts w:ascii="Times New Roman" w:hAnsi="Times New Roman" w:cs="Times New Roman"/>
                <w:b/>
                <w:bCs/>
                <w:i/>
                <w:lang w:val="sr-Cyrl-CS"/>
              </w:rPr>
              <w:t>РАСХОДИ И ИЗДАЦИ)</w:t>
            </w:r>
          </w:p>
        </w:tc>
        <w:tc>
          <w:tcPr>
            <w:tcW w:w="1350" w:type="dxa"/>
            <w:vAlign w:val="center"/>
          </w:tcPr>
          <w:p w:rsidR="00466294" w:rsidRPr="00466294" w:rsidRDefault="00466294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66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561.046</w:t>
            </w:r>
          </w:p>
        </w:tc>
        <w:tc>
          <w:tcPr>
            <w:tcW w:w="1170" w:type="dxa"/>
            <w:vAlign w:val="center"/>
          </w:tcPr>
          <w:p w:rsidR="00466294" w:rsidRPr="00466294" w:rsidRDefault="001A267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610.000</w:t>
            </w:r>
          </w:p>
        </w:tc>
        <w:tc>
          <w:tcPr>
            <w:tcW w:w="1350" w:type="dxa"/>
            <w:vAlign w:val="center"/>
          </w:tcPr>
          <w:p w:rsidR="00466294" w:rsidRPr="00466294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586.000</w:t>
            </w:r>
          </w:p>
        </w:tc>
        <w:tc>
          <w:tcPr>
            <w:tcW w:w="1350" w:type="dxa"/>
            <w:vAlign w:val="center"/>
          </w:tcPr>
          <w:p w:rsidR="00466294" w:rsidRPr="00466294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619.000</w:t>
            </w:r>
          </w:p>
        </w:tc>
        <w:tc>
          <w:tcPr>
            <w:tcW w:w="1154" w:type="dxa"/>
            <w:vAlign w:val="center"/>
          </w:tcPr>
          <w:p w:rsidR="00466294" w:rsidRPr="00466294" w:rsidRDefault="006069EE" w:rsidP="005046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643.000</w:t>
            </w:r>
          </w:p>
        </w:tc>
      </w:tr>
    </w:tbl>
    <w:p w:rsidR="00E44FD4" w:rsidRPr="00E44FD4" w:rsidRDefault="00E44FD4" w:rsidP="00E44FD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E44FD4" w:rsidRPr="00E44FD4" w:rsidRDefault="00E44FD4" w:rsidP="00E44FD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7A169A" w:rsidRDefault="00F5007A" w:rsidP="007A1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7A169A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ОБИМ СРЕДСТАВА БУЏЕТСК</w:t>
      </w:r>
      <w:r w:rsidR="007F26CC" w:rsidRPr="007A169A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ИХ</w:t>
      </w:r>
      <w:r w:rsidRPr="007A169A">
        <w:rPr>
          <w:rFonts w:ascii="Times New Roman" w:hAnsi="Times New Roman" w:cs="Times New Roman"/>
          <w:b/>
          <w:bCs/>
          <w:sz w:val="22"/>
          <w:szCs w:val="22"/>
        </w:rPr>
        <w:t xml:space="preserve"> КОРИСНИКА</w:t>
      </w:r>
    </w:p>
    <w:p w:rsidR="00A94D5D" w:rsidRDefault="00A94D5D" w:rsidP="00A9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A94D5D" w:rsidRPr="00A94D5D" w:rsidRDefault="00A94D5D" w:rsidP="00A9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976DC6" w:rsidRDefault="00F500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7F26CC">
        <w:rPr>
          <w:rFonts w:ascii="Times New Roman" w:hAnsi="Times New Roman" w:cs="Times New Roman"/>
          <w:bCs/>
          <w:sz w:val="22"/>
          <w:szCs w:val="22"/>
        </w:rPr>
        <w:t>Лимити расхода за текуће издатке (расходи на класи 4) по буџетским корисницима за</w:t>
      </w:r>
      <w:r w:rsidR="007F26CC" w:rsidRPr="007F26C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7F26CC">
        <w:rPr>
          <w:rFonts w:ascii="Times New Roman" w:hAnsi="Times New Roman" w:cs="Times New Roman"/>
          <w:bCs/>
          <w:sz w:val="22"/>
          <w:szCs w:val="22"/>
        </w:rPr>
        <w:t>2015.</w:t>
      </w:r>
      <w:proofErr w:type="gramEnd"/>
      <w:r w:rsidRPr="007F26C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7F26CC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7F26CC">
        <w:rPr>
          <w:rFonts w:ascii="Times New Roman" w:hAnsi="Times New Roman" w:cs="Times New Roman"/>
          <w:bCs/>
          <w:sz w:val="22"/>
          <w:szCs w:val="22"/>
        </w:rPr>
        <w:t xml:space="preserve"> и наредне две фискалне године, дати су у следећој табели:</w:t>
      </w:r>
      <w:r w:rsidR="00976DC6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(у хиљадама динара)</w:t>
      </w:r>
    </w:p>
    <w:p w:rsidR="007F26CC" w:rsidRPr="007F26CC" w:rsidRDefault="007F26CC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7F26CC" w:rsidRPr="007F26CC" w:rsidRDefault="007F26CC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tbl>
      <w:tblPr>
        <w:tblStyle w:val="TableGrid"/>
        <w:tblW w:w="8900" w:type="dxa"/>
        <w:tblLook w:val="04A0"/>
      </w:tblPr>
      <w:tblGrid>
        <w:gridCol w:w="775"/>
        <w:gridCol w:w="800"/>
        <w:gridCol w:w="2285"/>
        <w:gridCol w:w="1080"/>
        <w:gridCol w:w="1340"/>
        <w:gridCol w:w="1310"/>
        <w:gridCol w:w="1310"/>
      </w:tblGrid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Раз-</w:t>
            </w:r>
          </w:p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део</w:t>
            </w: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Гла-</w:t>
            </w:r>
          </w:p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ва</w:t>
            </w:r>
          </w:p>
        </w:tc>
        <w:tc>
          <w:tcPr>
            <w:tcW w:w="228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Назив корисника</w:t>
            </w:r>
          </w:p>
        </w:tc>
        <w:tc>
          <w:tcPr>
            <w:tcW w:w="1080" w:type="dxa"/>
            <w:vAlign w:val="center"/>
          </w:tcPr>
          <w:p w:rsidR="00EA15F9" w:rsidRPr="00504638" w:rsidRDefault="00EA15F9" w:rsidP="006247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2014. процена</w:t>
            </w:r>
          </w:p>
        </w:tc>
        <w:tc>
          <w:tcPr>
            <w:tcW w:w="1340" w:type="dxa"/>
            <w:vAlign w:val="center"/>
          </w:tcPr>
          <w:p w:rsidR="00EA15F9" w:rsidRPr="00504638" w:rsidRDefault="00EA15F9" w:rsidP="006247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2015. пројекција</w:t>
            </w:r>
          </w:p>
        </w:tc>
        <w:tc>
          <w:tcPr>
            <w:tcW w:w="1310" w:type="dxa"/>
          </w:tcPr>
          <w:p w:rsidR="00EA15F9" w:rsidRPr="00504638" w:rsidRDefault="00EA15F9" w:rsidP="0062473D">
            <w:pPr>
              <w:jc w:val="center"/>
              <w:rPr>
                <w:b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2016. пројекција</w:t>
            </w:r>
          </w:p>
        </w:tc>
        <w:tc>
          <w:tcPr>
            <w:tcW w:w="1310" w:type="dxa"/>
          </w:tcPr>
          <w:p w:rsidR="00EA15F9" w:rsidRPr="00504638" w:rsidRDefault="00EA15F9" w:rsidP="0062473D">
            <w:pPr>
              <w:jc w:val="center"/>
              <w:rPr>
                <w:b/>
              </w:rPr>
            </w:pPr>
            <w:r w:rsidRPr="005046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2017. пројекција</w:t>
            </w:r>
          </w:p>
        </w:tc>
      </w:tr>
      <w:tr w:rsidR="00FF72D6" w:rsidTr="00EA15F9">
        <w:tc>
          <w:tcPr>
            <w:tcW w:w="775" w:type="dxa"/>
          </w:tcPr>
          <w:p w:rsidR="00FF72D6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00" w:type="dxa"/>
          </w:tcPr>
          <w:p w:rsidR="00FF72D6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285" w:type="dxa"/>
          </w:tcPr>
          <w:p w:rsidR="00FF72D6" w:rsidRPr="003A1FD0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A1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ОПШТИНСКО ВЕЋЕ</w:t>
            </w:r>
          </w:p>
        </w:tc>
        <w:tc>
          <w:tcPr>
            <w:tcW w:w="1080" w:type="dxa"/>
          </w:tcPr>
          <w:p w:rsid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7.200</w:t>
            </w:r>
          </w:p>
        </w:tc>
        <w:tc>
          <w:tcPr>
            <w:tcW w:w="1340" w:type="dxa"/>
          </w:tcPr>
          <w:p w:rsid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7.000</w:t>
            </w:r>
          </w:p>
        </w:tc>
        <w:tc>
          <w:tcPr>
            <w:tcW w:w="1310" w:type="dxa"/>
          </w:tcPr>
          <w:p w:rsidR="00FF72D6" w:rsidRDefault="00FF72D6" w:rsidP="00C620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7.000</w:t>
            </w:r>
          </w:p>
        </w:tc>
        <w:tc>
          <w:tcPr>
            <w:tcW w:w="1310" w:type="dxa"/>
          </w:tcPr>
          <w:p w:rsidR="00FF72D6" w:rsidRDefault="00FF72D6" w:rsidP="00C620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7.000</w:t>
            </w:r>
          </w:p>
        </w:tc>
      </w:tr>
      <w:tr w:rsidR="00FF72D6" w:rsidTr="00EA15F9">
        <w:tc>
          <w:tcPr>
            <w:tcW w:w="775" w:type="dxa"/>
          </w:tcPr>
          <w:p w:rsidR="00FF72D6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800" w:type="dxa"/>
          </w:tcPr>
          <w:p w:rsidR="00FF72D6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285" w:type="dxa"/>
          </w:tcPr>
          <w:p w:rsidR="00FF72D6" w:rsidRPr="003A1FD0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A1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СКУПШТИНА ОПШТИНЕ</w:t>
            </w:r>
          </w:p>
        </w:tc>
        <w:tc>
          <w:tcPr>
            <w:tcW w:w="1080" w:type="dxa"/>
          </w:tcPr>
          <w:p w:rsid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12.950</w:t>
            </w:r>
          </w:p>
        </w:tc>
        <w:tc>
          <w:tcPr>
            <w:tcW w:w="1340" w:type="dxa"/>
          </w:tcPr>
          <w:p w:rsid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12.000</w:t>
            </w:r>
          </w:p>
        </w:tc>
        <w:tc>
          <w:tcPr>
            <w:tcW w:w="1310" w:type="dxa"/>
          </w:tcPr>
          <w:p w:rsidR="00FF72D6" w:rsidRDefault="00FF72D6" w:rsidP="00C620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12.000</w:t>
            </w:r>
          </w:p>
        </w:tc>
        <w:tc>
          <w:tcPr>
            <w:tcW w:w="1310" w:type="dxa"/>
          </w:tcPr>
          <w:p w:rsidR="00FF72D6" w:rsidRDefault="00FF72D6" w:rsidP="00C620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12.000</w:t>
            </w:r>
          </w:p>
        </w:tc>
      </w:tr>
      <w:tr w:rsidR="00FF72D6" w:rsidTr="00EA15F9">
        <w:tc>
          <w:tcPr>
            <w:tcW w:w="775" w:type="dxa"/>
          </w:tcPr>
          <w:p w:rsidR="00FF72D6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00" w:type="dxa"/>
          </w:tcPr>
          <w:p w:rsidR="00FF72D6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285" w:type="dxa"/>
          </w:tcPr>
          <w:p w:rsidR="00FF72D6" w:rsidRPr="003A1FD0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A1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ПРЕДСЕДНИК ОПШТИНЕ</w:t>
            </w:r>
          </w:p>
        </w:tc>
        <w:tc>
          <w:tcPr>
            <w:tcW w:w="1080" w:type="dxa"/>
          </w:tcPr>
          <w:p w:rsid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3.400</w:t>
            </w:r>
          </w:p>
        </w:tc>
        <w:tc>
          <w:tcPr>
            <w:tcW w:w="1340" w:type="dxa"/>
          </w:tcPr>
          <w:p w:rsid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3.000</w:t>
            </w:r>
          </w:p>
        </w:tc>
        <w:tc>
          <w:tcPr>
            <w:tcW w:w="1310" w:type="dxa"/>
          </w:tcPr>
          <w:p w:rsidR="00FF72D6" w:rsidRDefault="00FF72D6" w:rsidP="00C620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3.000</w:t>
            </w:r>
          </w:p>
        </w:tc>
        <w:tc>
          <w:tcPr>
            <w:tcW w:w="1310" w:type="dxa"/>
          </w:tcPr>
          <w:p w:rsidR="00FF72D6" w:rsidRDefault="00FF72D6" w:rsidP="00C620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3.000</w:t>
            </w:r>
          </w:p>
        </w:tc>
      </w:tr>
      <w:tr w:rsidR="00FF72D6" w:rsidTr="00EA15F9">
        <w:tc>
          <w:tcPr>
            <w:tcW w:w="775" w:type="dxa"/>
          </w:tcPr>
          <w:p w:rsidR="00FF72D6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800" w:type="dxa"/>
          </w:tcPr>
          <w:p w:rsidR="00FF72D6" w:rsidRDefault="00FF72D6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285" w:type="dxa"/>
          </w:tcPr>
          <w:p w:rsidR="00FF72D6" w:rsidRPr="003A1FD0" w:rsidRDefault="00FF72D6" w:rsidP="003A1F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A1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ОПШТИНСКИ ЈАВНИ ПРАВОБР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АН.</w:t>
            </w:r>
          </w:p>
        </w:tc>
        <w:tc>
          <w:tcPr>
            <w:tcW w:w="1080" w:type="dxa"/>
          </w:tcPr>
          <w:p w:rsid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340" w:type="dxa"/>
          </w:tcPr>
          <w:p w:rsid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310" w:type="dxa"/>
          </w:tcPr>
          <w:p w:rsidR="00FF72D6" w:rsidRDefault="00FF72D6" w:rsidP="00C620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310" w:type="dxa"/>
          </w:tcPr>
          <w:p w:rsidR="00FF72D6" w:rsidRDefault="00FF72D6" w:rsidP="00C620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ОПШТИНСКА УПРАВА</w:t>
            </w:r>
          </w:p>
        </w:tc>
        <w:tc>
          <w:tcPr>
            <w:tcW w:w="1080" w:type="dxa"/>
          </w:tcPr>
          <w:p w:rsidR="00EA15F9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586.450</w:t>
            </w:r>
          </w:p>
        </w:tc>
        <w:tc>
          <w:tcPr>
            <w:tcW w:w="1340" w:type="dxa"/>
          </w:tcPr>
          <w:p w:rsidR="00EA15F9" w:rsidRDefault="00FF72D6" w:rsidP="00FF72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564.000</w:t>
            </w:r>
          </w:p>
        </w:tc>
        <w:tc>
          <w:tcPr>
            <w:tcW w:w="1310" w:type="dxa"/>
          </w:tcPr>
          <w:p w:rsidR="00EA15F9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597.000</w:t>
            </w:r>
          </w:p>
        </w:tc>
        <w:tc>
          <w:tcPr>
            <w:tcW w:w="1310" w:type="dxa"/>
          </w:tcPr>
          <w:p w:rsidR="00EA15F9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621.000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3A1FD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Општа управа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98.400</w:t>
            </w:r>
          </w:p>
        </w:tc>
        <w:tc>
          <w:tcPr>
            <w:tcW w:w="1340" w:type="dxa"/>
          </w:tcPr>
          <w:p w:rsidR="00EA15F9" w:rsidRPr="00EA15F9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EA15F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98.000</w:t>
            </w:r>
          </w:p>
        </w:tc>
        <w:tc>
          <w:tcPr>
            <w:tcW w:w="1310" w:type="dxa"/>
          </w:tcPr>
          <w:p w:rsidR="00EA15F9" w:rsidRPr="00FF72D6" w:rsidRDefault="00FF72D6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10</w:t>
            </w:r>
            <w:r w:rsidR="005A0A2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</w:t>
            </w:r>
            <w:r w:rsidRP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310" w:type="dxa"/>
          </w:tcPr>
          <w:p w:rsidR="00EA15F9" w:rsidRPr="00FF72D6" w:rsidRDefault="00FF72D6" w:rsidP="00A934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10</w:t>
            </w:r>
            <w:r w:rsidR="00A93495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</w:t>
            </w:r>
            <w:r w:rsidRP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Социјална заштита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21.940</w:t>
            </w:r>
          </w:p>
        </w:tc>
        <w:tc>
          <w:tcPr>
            <w:tcW w:w="1340" w:type="dxa"/>
          </w:tcPr>
          <w:p w:rsidR="00EA15F9" w:rsidRPr="00EA15F9" w:rsidRDefault="00EA15F9" w:rsidP="00FF72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EA15F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</w:t>
            </w:r>
            <w:r w:rsid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</w:t>
            </w:r>
            <w:r w:rsidRPr="00EA15F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</w:t>
            </w:r>
            <w:r w:rsid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</w:t>
            </w:r>
            <w:r w:rsidRPr="00EA15F9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00</w:t>
            </w:r>
          </w:p>
        </w:tc>
        <w:tc>
          <w:tcPr>
            <w:tcW w:w="1310" w:type="dxa"/>
          </w:tcPr>
          <w:p w:rsidR="00EA15F9" w:rsidRPr="00FF72D6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25.000</w:t>
            </w:r>
          </w:p>
        </w:tc>
        <w:tc>
          <w:tcPr>
            <w:tcW w:w="1310" w:type="dxa"/>
          </w:tcPr>
          <w:p w:rsidR="00EA15F9" w:rsidRPr="00FF72D6" w:rsidRDefault="00FF72D6" w:rsidP="00A934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</w:t>
            </w:r>
            <w:r w:rsidR="00A93495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Јавни дуг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10.500</w:t>
            </w:r>
          </w:p>
        </w:tc>
        <w:tc>
          <w:tcPr>
            <w:tcW w:w="1340" w:type="dxa"/>
          </w:tcPr>
          <w:p w:rsidR="00EA15F9" w:rsidRPr="00EA15F9" w:rsidRDefault="00DC174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10.200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7.200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Здравство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5.900</w:t>
            </w:r>
          </w:p>
        </w:tc>
        <w:tc>
          <w:tcPr>
            <w:tcW w:w="1340" w:type="dxa"/>
          </w:tcPr>
          <w:p w:rsidR="00EA15F9" w:rsidRPr="00EA15F9" w:rsidRDefault="00DC174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5.900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8.000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Вртић Пчелица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27.880</w:t>
            </w:r>
          </w:p>
        </w:tc>
        <w:tc>
          <w:tcPr>
            <w:tcW w:w="1340" w:type="dxa"/>
          </w:tcPr>
          <w:p w:rsidR="00EA15F9" w:rsidRPr="00EA15F9" w:rsidRDefault="00DC174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28.500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31.000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33.000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Основно образовање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32.800</w:t>
            </w:r>
          </w:p>
        </w:tc>
        <w:tc>
          <w:tcPr>
            <w:tcW w:w="1340" w:type="dxa"/>
          </w:tcPr>
          <w:p w:rsidR="00EA15F9" w:rsidRPr="00EA15F9" w:rsidRDefault="00DC1741" w:rsidP="00FF72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</w:t>
            </w:r>
            <w:r w:rsid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38.000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39.000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Средње образовање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13.000</w:t>
            </w:r>
          </w:p>
        </w:tc>
        <w:tc>
          <w:tcPr>
            <w:tcW w:w="1340" w:type="dxa"/>
          </w:tcPr>
          <w:p w:rsidR="00EA15F9" w:rsidRPr="00EA15F9" w:rsidRDefault="00DC1741" w:rsidP="00FF72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16.000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17.000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УСЦ Куњак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23.220</w:t>
            </w:r>
          </w:p>
        </w:tc>
        <w:tc>
          <w:tcPr>
            <w:tcW w:w="1340" w:type="dxa"/>
          </w:tcPr>
          <w:p w:rsidR="00EA15F9" w:rsidRPr="00EA15F9" w:rsidRDefault="00DC1741" w:rsidP="00EA39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</w:t>
            </w:r>
            <w:r w:rsidR="00EA39C1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22.000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18.000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Б. Фонд за спорт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22.080</w:t>
            </w:r>
          </w:p>
        </w:tc>
        <w:tc>
          <w:tcPr>
            <w:tcW w:w="1340" w:type="dxa"/>
          </w:tcPr>
          <w:p w:rsidR="00EA15F9" w:rsidRPr="00EA15F9" w:rsidRDefault="00DC1741" w:rsidP="00FF72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13.800</w:t>
            </w:r>
          </w:p>
        </w:tc>
        <w:tc>
          <w:tcPr>
            <w:tcW w:w="1310" w:type="dxa"/>
          </w:tcPr>
          <w:p w:rsidR="00EA15F9" w:rsidRPr="00FF72D6" w:rsidRDefault="005A0A2C" w:rsidP="00A934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A93495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</w:t>
            </w:r>
            <w:r w:rsidR="00A93495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Центар културе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24.520</w:t>
            </w:r>
          </w:p>
        </w:tc>
        <w:tc>
          <w:tcPr>
            <w:tcW w:w="1340" w:type="dxa"/>
          </w:tcPr>
          <w:p w:rsidR="00EA15F9" w:rsidRPr="00EA15F9" w:rsidRDefault="00DC174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24.000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23.000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20.000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ЈП ИПЦ Радио Хан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8.170</w:t>
            </w:r>
          </w:p>
        </w:tc>
        <w:tc>
          <w:tcPr>
            <w:tcW w:w="1340" w:type="dxa"/>
          </w:tcPr>
          <w:p w:rsidR="00EA15F9" w:rsidRPr="00EA15F9" w:rsidRDefault="00DC174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6.000</w:t>
            </w:r>
          </w:p>
        </w:tc>
        <w:tc>
          <w:tcPr>
            <w:tcW w:w="1310" w:type="dxa"/>
          </w:tcPr>
          <w:p w:rsidR="00EA15F9" w:rsidRPr="00FF72D6" w:rsidRDefault="00F53CE3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310" w:type="dxa"/>
          </w:tcPr>
          <w:p w:rsidR="00EA15F9" w:rsidRPr="00FF72D6" w:rsidRDefault="00F53CE3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ЈП Дирекција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137.390</w:t>
            </w:r>
          </w:p>
        </w:tc>
        <w:tc>
          <w:tcPr>
            <w:tcW w:w="1340" w:type="dxa"/>
          </w:tcPr>
          <w:p w:rsidR="00EA15F9" w:rsidRPr="00EA15F9" w:rsidRDefault="00FF72D6" w:rsidP="00FF72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125</w:t>
            </w:r>
            <w:r w:rsidR="00DC1741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</w:t>
            </w:r>
            <w:r w:rsidR="00DC1741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138.000</w:t>
            </w:r>
          </w:p>
        </w:tc>
        <w:tc>
          <w:tcPr>
            <w:tcW w:w="1310" w:type="dxa"/>
          </w:tcPr>
          <w:p w:rsidR="00EA15F9" w:rsidRPr="00FF72D6" w:rsidRDefault="005A0A2C" w:rsidP="00A934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</w:t>
            </w:r>
            <w:r w:rsidR="00A93495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ЈП – комунална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33.500</w:t>
            </w:r>
          </w:p>
        </w:tc>
        <w:tc>
          <w:tcPr>
            <w:tcW w:w="1340" w:type="dxa"/>
          </w:tcPr>
          <w:p w:rsidR="00EA15F9" w:rsidRPr="00EA15F9" w:rsidRDefault="00DC1741" w:rsidP="00FF72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</w:t>
            </w:r>
            <w:r w:rsid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34.000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35.000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Месне заједнице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7.000</w:t>
            </w:r>
          </w:p>
        </w:tc>
        <w:tc>
          <w:tcPr>
            <w:tcW w:w="1340" w:type="dxa"/>
          </w:tcPr>
          <w:p w:rsidR="00EA15F9" w:rsidRPr="00EA15F9" w:rsidRDefault="00DC174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7.000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6.500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8.000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 фонд за развој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36.800</w:t>
            </w:r>
          </w:p>
        </w:tc>
        <w:tc>
          <w:tcPr>
            <w:tcW w:w="1340" w:type="dxa"/>
          </w:tcPr>
          <w:p w:rsidR="00EA15F9" w:rsidRPr="00EA15F9" w:rsidRDefault="00DC1741" w:rsidP="00FF72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</w:t>
            </w:r>
            <w:r w:rsidR="00FF72D6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50.000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57.000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БФ пољопривреде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6.640</w:t>
            </w:r>
          </w:p>
        </w:tc>
        <w:tc>
          <w:tcPr>
            <w:tcW w:w="1340" w:type="dxa"/>
          </w:tcPr>
          <w:p w:rsidR="00EA15F9" w:rsidRPr="00EA15F9" w:rsidRDefault="00DC174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6.500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10.000</w:t>
            </w:r>
          </w:p>
        </w:tc>
        <w:tc>
          <w:tcPr>
            <w:tcW w:w="1310" w:type="dxa"/>
          </w:tcPr>
          <w:p w:rsidR="00EA15F9" w:rsidRPr="00FF72D6" w:rsidRDefault="005A0A2C" w:rsidP="005A0A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БФ екологија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46.790</w:t>
            </w:r>
          </w:p>
        </w:tc>
        <w:tc>
          <w:tcPr>
            <w:tcW w:w="1340" w:type="dxa"/>
          </w:tcPr>
          <w:p w:rsidR="00EA15F9" w:rsidRPr="00EA15F9" w:rsidRDefault="00EA39C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38.000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35.000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33.000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18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ЛПА за децу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3.210</w:t>
            </w:r>
          </w:p>
        </w:tc>
        <w:tc>
          <w:tcPr>
            <w:tcW w:w="1340" w:type="dxa"/>
          </w:tcPr>
          <w:p w:rsidR="00EA15F9" w:rsidRPr="00EA15F9" w:rsidRDefault="00EA39C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3.500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Остали трансфери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10.310</w:t>
            </w:r>
          </w:p>
        </w:tc>
        <w:tc>
          <w:tcPr>
            <w:tcW w:w="1340" w:type="dxa"/>
          </w:tcPr>
          <w:p w:rsidR="00EA15F9" w:rsidRPr="00EA15F9" w:rsidRDefault="00EA39C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14.000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15.000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18.000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Донације НВО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3.200</w:t>
            </w:r>
          </w:p>
        </w:tc>
        <w:tc>
          <w:tcPr>
            <w:tcW w:w="1340" w:type="dxa"/>
          </w:tcPr>
          <w:p w:rsidR="00EA15F9" w:rsidRPr="00EA15F9" w:rsidRDefault="00EA39C1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4.500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5.000</w:t>
            </w:r>
          </w:p>
        </w:tc>
      </w:tr>
      <w:tr w:rsidR="00EA15F9" w:rsidTr="00EA15F9">
        <w:tc>
          <w:tcPr>
            <w:tcW w:w="775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00" w:type="dxa"/>
          </w:tcPr>
          <w:p w:rsidR="00EA15F9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21</w:t>
            </w:r>
          </w:p>
        </w:tc>
        <w:tc>
          <w:tcPr>
            <w:tcW w:w="2285" w:type="dxa"/>
          </w:tcPr>
          <w:p w:rsidR="00EA15F9" w:rsidRPr="003A1FD0" w:rsidRDefault="00EA15F9" w:rsidP="00F50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Резерве</w:t>
            </w:r>
          </w:p>
        </w:tc>
        <w:tc>
          <w:tcPr>
            <w:tcW w:w="1080" w:type="dxa"/>
          </w:tcPr>
          <w:p w:rsidR="00EA15F9" w:rsidRPr="00190EFC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EFC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13.200</w:t>
            </w:r>
          </w:p>
        </w:tc>
        <w:tc>
          <w:tcPr>
            <w:tcW w:w="1340" w:type="dxa"/>
          </w:tcPr>
          <w:p w:rsidR="00EA15F9" w:rsidRPr="00EA15F9" w:rsidRDefault="00EA39C1" w:rsidP="00EA39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13.900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15.000</w:t>
            </w:r>
          </w:p>
        </w:tc>
        <w:tc>
          <w:tcPr>
            <w:tcW w:w="1310" w:type="dxa"/>
          </w:tcPr>
          <w:p w:rsidR="00EA15F9" w:rsidRPr="00FF72D6" w:rsidRDefault="005A0A2C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16.000</w:t>
            </w:r>
          </w:p>
        </w:tc>
      </w:tr>
      <w:tr w:rsidR="00EA15F9" w:rsidTr="00EA15F9">
        <w:tc>
          <w:tcPr>
            <w:tcW w:w="3860" w:type="dxa"/>
            <w:gridSpan w:val="3"/>
          </w:tcPr>
          <w:p w:rsidR="00EA15F9" w:rsidRPr="003A1FD0" w:rsidRDefault="00EA15F9" w:rsidP="00EF1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УКУПНО (1 до 5)</w:t>
            </w:r>
          </w:p>
        </w:tc>
        <w:tc>
          <w:tcPr>
            <w:tcW w:w="1080" w:type="dxa"/>
          </w:tcPr>
          <w:p w:rsidR="00EA15F9" w:rsidRDefault="00EA15F9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610.000</w:t>
            </w:r>
          </w:p>
        </w:tc>
        <w:tc>
          <w:tcPr>
            <w:tcW w:w="1340" w:type="dxa"/>
          </w:tcPr>
          <w:p w:rsidR="00EA15F9" w:rsidRDefault="00CF4B15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586.000</w:t>
            </w:r>
          </w:p>
        </w:tc>
        <w:tc>
          <w:tcPr>
            <w:tcW w:w="1310" w:type="dxa"/>
          </w:tcPr>
          <w:p w:rsidR="00EA15F9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619.000</w:t>
            </w:r>
          </w:p>
        </w:tc>
        <w:tc>
          <w:tcPr>
            <w:tcW w:w="1310" w:type="dxa"/>
          </w:tcPr>
          <w:p w:rsidR="00EA15F9" w:rsidRDefault="00FF72D6" w:rsidP="00190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643.000</w:t>
            </w:r>
          </w:p>
        </w:tc>
      </w:tr>
    </w:tbl>
    <w:p w:rsidR="007F26CC" w:rsidRDefault="007F26CC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E44FD4" w:rsidRDefault="00E44FD4" w:rsidP="00976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A02D90" w:rsidRDefault="00F5007A" w:rsidP="00A02D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A02D90">
        <w:rPr>
          <w:rFonts w:ascii="Times New Roman" w:hAnsi="Times New Roman" w:cs="Times New Roman"/>
          <w:b/>
          <w:bCs/>
          <w:sz w:val="22"/>
          <w:szCs w:val="22"/>
        </w:rPr>
        <w:t xml:space="preserve"> СМЕРНИЦЕ ЗА ПРИПРЕМУ ПЛАНОВА ДИРЕКТНИХ КОРИСНИКА</w:t>
      </w:r>
    </w:p>
    <w:p w:rsidR="00976DC6" w:rsidRDefault="00976DC6" w:rsidP="00976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DC6" w:rsidRPr="00976DC6" w:rsidRDefault="00976DC6" w:rsidP="00976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Приликом планирања предлога финансијског плана треба имати у виду следеће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параметре:</w:t>
      </w:r>
    </w:p>
    <w:p w:rsidR="00514EC9" w:rsidRPr="00514EC9" w:rsidRDefault="00514EC9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5007A" w:rsidRPr="0037398C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37398C">
        <w:rPr>
          <w:rFonts w:ascii="Times New Roman" w:hAnsi="Times New Roman" w:cs="Times New Roman"/>
          <w:b/>
          <w:bCs/>
          <w:sz w:val="22"/>
          <w:szCs w:val="22"/>
        </w:rPr>
        <w:t>Планирање броја запослених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Законом о одређивању максималног броја запослених у локалној администрацији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(„Службени гласник РС", број 104/09) одређује се укупан максималан број запослених у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органима јединица </w:t>
      </w:r>
      <w:r w:rsidRPr="00514EC9">
        <w:rPr>
          <w:rFonts w:ascii="Times New Roman" w:hAnsi="Times New Roman" w:cs="Times New Roman"/>
          <w:bCs/>
          <w:sz w:val="22"/>
          <w:szCs w:val="22"/>
        </w:rPr>
        <w:lastRenderedPageBreak/>
        <w:t>локалне самоуправе установама које се финансирају из буџета (осим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установа у области образовања, здравства и предшколских установа), привредним друштвима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 другим облицима организовања чији је једини оснивач јединица локалне самоуправе (осим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јавних предузећа), а који се финансирају из буџета (члан 1.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Закона).</w:t>
      </w:r>
      <w:proofErr w:type="gramEnd"/>
    </w:p>
    <w:p w:rsidR="00514EC9" w:rsidRDefault="00514EC9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Законом о буџетском систему у члану 27е став 34 уређено је, између осталог и да,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корисници јавних средстава не могу заснивати радни однос са новим лицима ради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попуњавања слободних, односно упражњених радних места до 31.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децембра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2015.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>.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Изузетно од става 34.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овог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члана, радни однос са новим лицима може се засновати уз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сагласност тела Владе, на предлог надлежног министарства, односно другог надлежног органа,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уз претходно прибављено мишљење Министарства.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Укупан број запослених на одређено време због повећаног обима посла, лица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ангажованих по уговору о делу, уговору о привременим и повременим пословима, преко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омладинске и студентске задруге и лица ангажованих по другим основама, код корисника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јавних средстава, не може бити већи од 10% укупног броја запослених.</w:t>
      </w: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Изузетно од става 36.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овог члана, број запослених на одређено време због повећаног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обима посла, лица ангажованих по уговору о делу, уговору о привременим и повременим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пословима, преко омладинске и студентске задруге и лица ангажованих по другим основама,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код корисника јавних средстава, може бити већи од 10% укупног броја запослених, уз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сагласност тела Владе, на предлог надлежног министарства, односно другог надлежног органа,</w:t>
      </w:r>
      <w:r w:rsid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уз претходно прибављено мишљење Министарства.</w:t>
      </w:r>
    </w:p>
    <w:p w:rsidR="00514EC9" w:rsidRPr="00514EC9" w:rsidRDefault="00514EC9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37398C">
        <w:rPr>
          <w:rFonts w:ascii="Times New Roman" w:hAnsi="Times New Roman" w:cs="Times New Roman"/>
          <w:b/>
          <w:bCs/>
          <w:sz w:val="22"/>
          <w:szCs w:val="22"/>
        </w:rPr>
        <w:t>Планирање средства за плате (економска класификација 411 и 412) у 2015.</w:t>
      </w:r>
      <w:proofErr w:type="gramEnd"/>
      <w:r w:rsidRPr="0037398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E18AA" w:rsidRPr="0037398C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г</w:t>
      </w:r>
      <w:r w:rsidRPr="0037398C">
        <w:rPr>
          <w:rFonts w:ascii="Times New Roman" w:hAnsi="Times New Roman" w:cs="Times New Roman"/>
          <w:b/>
          <w:bCs/>
          <w:sz w:val="22"/>
          <w:szCs w:val="22"/>
        </w:rPr>
        <w:t>одини</w:t>
      </w:r>
    </w:p>
    <w:p w:rsidR="00514EC9" w:rsidRPr="00514EC9" w:rsidRDefault="00514EC9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треба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планирати у складу са фискалним правилима, односно полазећи од тога да је чланом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27.е Закона о буџетском систему, дефинисано ће се плате у октобру 2014.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повећaти за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0,5%.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Међутим, Закон предвиђа да у случају да се до 1.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јула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2014.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не донесе пропис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којим ће се уредити уједначавање нивоа плата, односно зарада запослених у јавном сектору,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неће се вршити наведено усклађивање плата и пензија у октобру 2014.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>, те напред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наведено треба узети у обзир.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Даље, у априлу 2015.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планирано је повећање плата за 0,5% и у октобру 2015.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за 0,5%.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У априлу 2016.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се за 0,5%, и у октобру 2016.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за 0,5%.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Фискална правила која уређују кретање плата и пензија примењиваће се и након 2016.</w:t>
      </w:r>
      <w:proofErr w:type="gramEnd"/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године, с тим што ће се у априлу плате и пензије усклађивати збиром раста потрошачких цена у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претходних шест месеци и дела стопе реалног раста БДП у претходној години изнад 4%, а у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октобру усклађиваће се стопом раста потрошачких цена у претходних шест месеци, све док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учешће пензија у БДП не достигне 10%, а учешће плата 8%.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>Корисници у предлогу финансијског плана у 2015.</w:t>
      </w:r>
      <w:proofErr w:type="gramEnd"/>
      <w:r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gramStart"/>
      <w:r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>години</w:t>
      </w:r>
      <w:proofErr w:type="gramEnd"/>
      <w:r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могу планирати масу</w:t>
      </w:r>
      <w:r w:rsidR="0062473D"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>средстава потребну за исплату дванаест месечних плата запослених које се финансирају из</w:t>
      </w:r>
      <w:r w:rsidR="0062473D"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>буџета локалне власти, полазећи од укупног износа средстава за плате који је планиран у</w:t>
      </w:r>
      <w:r w:rsidR="0062473D"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складу са одредбама Закона о буџету Републике Србије за 2014. </w:t>
      </w:r>
      <w:proofErr w:type="gramStart"/>
      <w:r w:rsidRPr="00E44FD4">
        <w:rPr>
          <w:rFonts w:ascii="Times New Roman" w:hAnsi="Times New Roman" w:cs="Times New Roman"/>
          <w:b/>
          <w:bCs/>
          <w:sz w:val="22"/>
          <w:szCs w:val="22"/>
          <w:u w:val="single"/>
        </w:rPr>
        <w:t>годину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44FD4">
        <w:rPr>
          <w:rFonts w:ascii="Times New Roman" w:hAnsi="Times New Roman" w:cs="Times New Roman"/>
          <w:bCs/>
          <w:sz w:val="22"/>
          <w:szCs w:val="22"/>
          <w:lang w:val="sr-Cyrl-CS"/>
        </w:rPr>
        <w:t>док се увећање,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највише до </w:t>
      </w:r>
      <w:r w:rsidRPr="001877CB">
        <w:rPr>
          <w:rFonts w:ascii="Times New Roman" w:hAnsi="Times New Roman" w:cs="Times New Roman"/>
          <w:b/>
          <w:bCs/>
          <w:sz w:val="22"/>
          <w:szCs w:val="22"/>
        </w:rPr>
        <w:t>1,5%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44FD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може билансирати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у 2016.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2017.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>, при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чему се ограничење односи на укупно планиране плате из буџета локалне власти, на</w:t>
      </w:r>
      <w:r w:rsidR="006247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економским класификацијама 411 - Плате, додаци и накнаде запослених (зараде) и 412 -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Социјални доприноси на терет послодавца. Подразумева се да су исплате плата вршене у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складу са Законом о платама у државним органима и јавним службама („Службени гласник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РС", бр. 34/01, 62/06, ...10/13 и </w:t>
      </w:r>
      <w:r w:rsidR="00233659">
        <w:rPr>
          <w:rFonts w:ascii="Times New Roman" w:hAnsi="Times New Roman" w:cs="Times New Roman"/>
          <w:bCs/>
          <w:sz w:val="22"/>
          <w:szCs w:val="22"/>
          <w:lang w:val="sr-Cyrl-CS"/>
        </w:rPr>
        <w:t>99</w:t>
      </w:r>
      <w:r w:rsidRPr="00514EC9">
        <w:rPr>
          <w:rFonts w:ascii="Times New Roman" w:hAnsi="Times New Roman" w:cs="Times New Roman"/>
          <w:bCs/>
          <w:sz w:val="22"/>
          <w:szCs w:val="22"/>
        </w:rPr>
        <w:t>/1</w:t>
      </w:r>
      <w:r w:rsidR="00233659">
        <w:rPr>
          <w:rFonts w:ascii="Times New Roman" w:hAnsi="Times New Roman" w:cs="Times New Roman"/>
          <w:bCs/>
          <w:sz w:val="22"/>
          <w:szCs w:val="22"/>
          <w:lang w:val="sr-Cyrl-CS"/>
        </w:rPr>
        <w:t>4</w:t>
      </w:r>
      <w:r w:rsidRPr="00514EC9">
        <w:rPr>
          <w:rFonts w:ascii="Times New Roman" w:hAnsi="Times New Roman" w:cs="Times New Roman"/>
          <w:bCs/>
          <w:sz w:val="22"/>
          <w:szCs w:val="22"/>
        </w:rPr>
        <w:t>) и Уредбом о коефицијентима за обрачун и исплату плата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именованих и постављених лица и запослених у државним органима („Службени гласник РС",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бр. 44/08 - пречишћен текст и 2/12).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Напомињемо да претходну пројекцију дајемо са резервом, обзиром да су од стране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надлежних Министарстава у најави измене сета закона која се тичу плата запослених у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државним органима </w:t>
      </w:r>
      <w:r w:rsidRPr="00514EC9">
        <w:rPr>
          <w:rFonts w:ascii="Times New Roman" w:hAnsi="Times New Roman" w:cs="Times New Roman"/>
          <w:bCs/>
          <w:sz w:val="22"/>
          <w:szCs w:val="22"/>
        </w:rPr>
        <w:lastRenderedPageBreak/>
        <w:t>односно у локалној самоуправи.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Уколико дође до наведених измена,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извршиће се корекција обрачуна потребних средстава за исплату плата буџетских корисника.</w:t>
      </w:r>
      <w:proofErr w:type="gramEnd"/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Одлуком о буџету се не врши одобравање новог запошљавања.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У том смислу,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сви захтеви за одобрење средстава за плате евентуално новозапослених, достављају се у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форми захтева за додатним средствима, са детаљним образложењем и са захтевом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надлежним министарствима за одобрење новог запошљавања, тј за одобрење веће масе за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плате.</w:t>
      </w:r>
      <w:proofErr w:type="gramEnd"/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У оквиру осталих расхода са групе конта 41, не могу се планирати исплате награда и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бонуса предвиђених посебним и појединачним колективним уговорима, осим јубиларних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награда за запослене који то право стичу у 2015.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>, као ни исплате награда и бонуса који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према међународним стандардима представљају нестандардне односно нетранспарентне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облике награда и бонуса.</w:t>
      </w:r>
    </w:p>
    <w:p w:rsidR="00F5007A" w:rsidRPr="0037398C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За средстава која су потребна за исплату отпремнина потребно је навести планирани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број запослених (сачинити списак) који ће у току 2015.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остварити право на отпремнину и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исказати потребу у средствима за исплату отпремнине.</w:t>
      </w:r>
      <w:r w:rsidR="0037398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Износ средстава за јубиларне награде мора се прецизно и одговорно планирати код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свих буџетских корисника.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У образложењу је потребно навести списак запослених који ће у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2015.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остварити право на јубиларну награду као и потребне износе. Запосленима за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које се у току године испостави да имају право на исплату јубиларне награде, а не налазе се на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списку, јубиларна награда ће након приложене одговарајуће правдајуће документације, бити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исплаћена, с тим што ће се за тај износ умањити средства на другим економским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класификацијама у финансијском плану корисника.</w:t>
      </w:r>
    </w:p>
    <w:p w:rsidR="003D6F5C" w:rsidRPr="00514EC9" w:rsidRDefault="003D6F5C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- У оквиру групе конта 42 треба сагледати могућност уштеде, пре свега у оквиру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економских класификација 422-Трошкови путовања, 423-Услуге по уговору и 424-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Специјализоване услуге, а настојати да се не угрози извршавање сталних трошкова (421-Стални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трошкови).</w:t>
      </w:r>
    </w:p>
    <w:p w:rsidR="003D6F5C" w:rsidRPr="00514EC9" w:rsidRDefault="003D6F5C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Средства за сталне трошкове (економска класификација 421) планирати на основу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02D90">
        <w:rPr>
          <w:rFonts w:ascii="Times New Roman" w:hAnsi="Times New Roman" w:cs="Times New Roman"/>
          <w:bCs/>
          <w:sz w:val="22"/>
          <w:szCs w:val="22"/>
          <w:lang w:val="sr-Cyrl-CS"/>
        </w:rPr>
        <w:t>деве</w:t>
      </w:r>
      <w:r w:rsidRPr="00514EC9">
        <w:rPr>
          <w:rFonts w:ascii="Times New Roman" w:hAnsi="Times New Roman" w:cs="Times New Roman"/>
          <w:bCs/>
          <w:sz w:val="22"/>
          <w:szCs w:val="22"/>
        </w:rPr>
        <w:t>томесечног извршења у 2014.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и очекиваног нивоа извршења ових расхода до краја</w:t>
      </w:r>
    </w:p>
    <w:p w:rsidR="00F5007A" w:rsidRDefault="00F5007A" w:rsidP="00A02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, увећано за пројектовану инфлацију за 2015.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3D6F5C" w:rsidRPr="00514EC9" w:rsidRDefault="003D6F5C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Угоститељске услуге и трошкове репрезентације, као чисте дискреционе расходе,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планирати уз максималну штедњу и одговорност према пореским обвезницима који издвајају</w:t>
      </w:r>
      <w:r w:rsidR="003D6F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значајна средства из својих кућних буџета за функционисање органа </w:t>
      </w:r>
      <w:r w:rsidR="003D6F5C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514EC9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</w:p>
    <w:p w:rsidR="003D6F5C" w:rsidRPr="003D6F5C" w:rsidRDefault="003D6F5C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Средства за текуће одржавање опреме и објеката (425-Текуће поправке и одржавање)</w:t>
      </w:r>
      <w:r w:rsidR="003D6F5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планирају се по приоритетима.</w:t>
      </w:r>
      <w:proofErr w:type="gramEnd"/>
    </w:p>
    <w:p w:rsidR="003D6F5C" w:rsidRPr="003D6F5C" w:rsidRDefault="003D6F5C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Износ субвенција у 2015.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треба планирати у складу са политиком расхода за</w:t>
      </w:r>
      <w:r w:rsidR="003D6F5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2014.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>, којом је предвиђено смањивање расхода за субвенције на свим нивоима власти.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 xml:space="preserve">Потребно је да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се </w:t>
      </w:r>
      <w:r w:rsidR="003D6F5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расходи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за субвенције у 2015.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на нивоу јединица локалне самоуправе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планирају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у минималном износу, највише до износа који је опредељен буџетом за текућу</w:t>
      </w:r>
      <w:r w:rsidR="003D6F5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годину, односно планирати трошкове који се односе само на финансирање текућих трошкова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предузећа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за 2015.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на основу образложеног писменог захтева предузећа о финансијској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немогућности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измирења обавеза за које се потражују средства из буџета </w:t>
      </w:r>
      <w:r w:rsidR="003D6F5C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514EC9">
        <w:rPr>
          <w:rFonts w:ascii="Times New Roman" w:hAnsi="Times New Roman" w:cs="Times New Roman"/>
          <w:bCs/>
          <w:sz w:val="22"/>
          <w:szCs w:val="22"/>
        </w:rPr>
        <w:t>. Тенденција је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да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по могућству, ови расходи уопште и не буду заступљени у плану.</w:t>
      </w:r>
    </w:p>
    <w:p w:rsidR="003D6F5C" w:rsidRDefault="003D6F5C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Остали расходи (група конта 48) планирају се највише до износа који је опредељен</w:t>
      </w:r>
      <w:r w:rsidR="003D6F5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буџетом за 2014.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>.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37398C">
        <w:rPr>
          <w:rFonts w:ascii="Times New Roman" w:hAnsi="Times New Roman" w:cs="Times New Roman"/>
          <w:bCs/>
          <w:sz w:val="22"/>
          <w:szCs w:val="22"/>
        </w:rPr>
        <w:t>Средства планирана на економској класификацији 481 - Дотације невладиним</w:t>
      </w:r>
      <w:r w:rsidR="003D6F5C" w:rsidRPr="0037398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37398C">
        <w:rPr>
          <w:rFonts w:ascii="Times New Roman" w:hAnsi="Times New Roman" w:cs="Times New Roman"/>
          <w:bCs/>
          <w:sz w:val="22"/>
          <w:szCs w:val="22"/>
        </w:rPr>
        <w:t>организацијама</w:t>
      </w:r>
      <w:r w:rsidR="0037398C">
        <w:rPr>
          <w:rFonts w:ascii="Times New Roman" w:hAnsi="Times New Roman" w:cs="Times New Roman"/>
          <w:bCs/>
          <w:sz w:val="22"/>
          <w:szCs w:val="22"/>
          <w:lang w:val="sr-Cyrl-CS"/>
        </w:rPr>
        <w:t>.</w:t>
      </w:r>
      <w:proofErr w:type="gramEnd"/>
      <w:r w:rsidRPr="0037398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398C" w:rsidRPr="0037398C">
        <w:rPr>
          <w:rFonts w:ascii="Times New Roman" w:hAnsi="Times New Roman" w:cs="Times New Roman"/>
          <w:bCs/>
          <w:sz w:val="22"/>
          <w:szCs w:val="22"/>
          <w:lang w:val="sr-Cyrl-CS"/>
        </w:rPr>
        <w:t>П</w:t>
      </w:r>
      <w:r w:rsidRPr="0037398C">
        <w:rPr>
          <w:rFonts w:ascii="Times New Roman" w:hAnsi="Times New Roman" w:cs="Times New Roman"/>
          <w:bCs/>
          <w:sz w:val="22"/>
          <w:szCs w:val="22"/>
        </w:rPr>
        <w:t>отребно је да се посебно, на аналитичан и детаљан начин искажу расходи</w:t>
      </w:r>
      <w:r w:rsidR="003D6F5C" w:rsidRPr="0037398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37398C">
        <w:rPr>
          <w:rFonts w:ascii="Times New Roman" w:hAnsi="Times New Roman" w:cs="Times New Roman"/>
          <w:bCs/>
          <w:sz w:val="22"/>
          <w:szCs w:val="22"/>
        </w:rPr>
        <w:t xml:space="preserve">путем дотација, </w:t>
      </w:r>
      <w:r w:rsidRPr="0037398C">
        <w:rPr>
          <w:rFonts w:ascii="Times New Roman" w:hAnsi="Times New Roman" w:cs="Times New Roman"/>
          <w:bCs/>
          <w:sz w:val="22"/>
          <w:szCs w:val="22"/>
        </w:rPr>
        <w:lastRenderedPageBreak/>
        <w:t>односно средства која се планирају у наредној години морају бити</w:t>
      </w:r>
      <w:r w:rsidR="003D6F5C" w:rsidRPr="0037398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37398C">
        <w:rPr>
          <w:rFonts w:ascii="Times New Roman" w:hAnsi="Times New Roman" w:cs="Times New Roman"/>
          <w:bCs/>
          <w:sz w:val="22"/>
          <w:szCs w:val="22"/>
        </w:rPr>
        <w:t>распоређена по областима усклађеним са програмском структуром.</w:t>
      </w: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У циљу транспарентнијег приказивања средстава намењених за финансирање редовног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рада политичких субјеката, у складу са Законом о финансирању политичких активности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(„Службени гласник РС", број 43/11), потребно је, у опису апропријације економске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класификације 481 -Дотације невладиним организацијама, посебно исказати средства за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наведену намену.</w:t>
      </w:r>
    </w:p>
    <w:p w:rsidR="00A02D90" w:rsidRPr="00A02D90" w:rsidRDefault="00A02D90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Cs/>
          <w:sz w:val="22"/>
          <w:szCs w:val="22"/>
          <w:lang w:val="sr-Cyrl-CS"/>
        </w:rPr>
        <w:t>У циљу благовременог сагледавања висине и динамике измиривања обавеза по судским процесима који у у току, неопходно је да корисиници буџета доставе детаљан преглед свих судских спорова са што тачније утврђеним износом вредности спора у очекиваном моменту наплате као и што тачније предвиђеним  моментом наплате.</w:t>
      </w:r>
    </w:p>
    <w:p w:rsidR="002A03EC" w:rsidRPr="002A03EC" w:rsidRDefault="002A03EC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Набавку административне опреме и других основних средстава (економска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класификација 512) за редован рад који се не сматрају капиталним инвестицијама у смислу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вишегодишњих пројеката, потребно је планирати уз максималне уштеде само за набавку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неопходних средстава за рад.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Неће се извршити плаћање из буџета 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за набавку опреме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која није планирана финансијским планом на почетку године и није прецизно наведена у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образложењу.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Приликом планирања потребно је информисати се о свим алтернативним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изворима финансирања као што су: сопствени приходи, конкурси и фондови међународних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организација, републичких органа и других донатора.</w:t>
      </w: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Важно је да корисници не исказују као капиталне издатке текуће поправке и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одржавање зграда, објеката и опреме, већ да расходе за те намене (за молерске, зидарске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радове, поправке електронске и електричне опреме итд.) планирају на економској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класификацији 425 -Текуће поправке и одржавање, а само ако се ради о капиталном</w:t>
      </w:r>
      <w:r w:rsidR="002A03E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инвестиционом одржавању, средства треба планирати на контима групе 51, 52 и 54.</w:t>
      </w:r>
    </w:p>
    <w:p w:rsidR="004F37E9" w:rsidRPr="004F37E9" w:rsidRDefault="004F37E9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- На контима групе 51, 52 и 54 планирају се средства за капиталне пројекте.</w:t>
      </w:r>
      <w:proofErr w:type="gramEnd"/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У складу са чланом 54.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Закона о буџетском систему, буџетски корисници могу преузети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обавезе по уговору који се односи на капиталне издатке и захтева плаћање у више година који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се односи на капиталне издатке на основу предлога органа надлежног за послове финансија, уз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сагласност надлежног извршног органа локалне власти.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Даље, корисници могу преузети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обавезе по уговору само за капиталне пројекте у складу са предвиђеним средствима из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прегледа планираних капиталних издатака буџетских корисника за текућу и наредне две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буџетске године у општем делу буџета за текућу годину, укључујући и потребна средства до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завршетка капиталних пројеката, односно након три фискалне године.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Корисници су обавезни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да, пре покретања поступка јавне набавке за преузимање обавеза по уговору за капиталне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пројекте, прибаве сагласност надлежног органа.</w:t>
      </w:r>
      <w:proofErr w:type="gramEnd"/>
    </w:p>
    <w:p w:rsidR="000172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Сходно наведеном, буџетски корисници који планирају реализацију капиталних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пројеката морају доставити списак капиталних пројеката са процењеном вредношћу на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прописаним обрасцима-Преглед капиталних пројеката за период 2015-2017.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>, како би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након разматрања, били уврштени у План капиталних инвестиција. 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Капитални пројекти су пројекти чија реализација (извођење) траје дуже од годину дана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 чији је век трајања, односно коришћења дужи од пет годинa.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Капитални пројекти укључују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вишегодишње финансирање и релативно велике издатке у садашњости, за које се очекује да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ће генерисати корист односно добит у годинама након реализације.</w:t>
      </w:r>
      <w:proofErr w:type="gramEnd"/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На основу свеобухватне процене потреба, потребно је рангирати капиталне пројекте по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приоритетима, у складу са усвојеним стратешким документима, водећи рачуна да приоритет у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финансирању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имају већ започети пројекти, чија је даља реализација оправдана.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>Капитални пројекти се односе на: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 xml:space="preserve">1.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изградњу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(куповину) зграда и грађевинских објеката и објеката инфраструктуре од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интереса за локалну самоуправу;</w:t>
      </w:r>
    </w:p>
    <w:p w:rsidR="00F5007A" w:rsidRPr="007419F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 xml:space="preserve">2.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унапређење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односно капитално одржавање постојећих зграда и грађевинских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објеката и објеката инфраструктуре од интереса за локалну самоуправу;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3.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обезбеђивање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земљишта;</w:t>
      </w: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 xml:space="preserve">4.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пројектно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планирање;</w:t>
      </w:r>
    </w:p>
    <w:p w:rsidR="00F5007A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514EC9">
        <w:rPr>
          <w:rFonts w:ascii="Times New Roman" w:hAnsi="Times New Roman" w:cs="Times New Roman"/>
          <w:bCs/>
          <w:sz w:val="22"/>
          <w:szCs w:val="22"/>
        </w:rPr>
        <w:t xml:space="preserve">5.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набавку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опреме и машина чији је век трајања односно коришћења дужи од пет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година.</w:t>
      </w:r>
    </w:p>
    <w:p w:rsidR="007419F9" w:rsidRPr="007419F9" w:rsidRDefault="007419F9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Расходи који се финансирају из сопствених и осталих извора корисника, морају бити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у висини реално процењеног остварења ових прихода у 2015.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наредне две године, односно</w:t>
      </w:r>
      <w:r w:rsidR="007419F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мора постојати равнотежа између планираних прихода и планираних расхода. За кориснике је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исказивање расхода који се финансирају из других извора који нису буџетски (сопствени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приходи, приходи од донација, средства од Министарстава и др.) посебно важно</w:t>
      </w:r>
      <w:r w:rsidRPr="00F308E1">
        <w:rPr>
          <w:rFonts w:ascii="Times New Roman" w:hAnsi="Times New Roman" w:cs="Times New Roman"/>
          <w:bCs/>
          <w:sz w:val="22"/>
          <w:szCs w:val="22"/>
        </w:rPr>
        <w:t>, обзиром да</w:t>
      </w:r>
      <w:r w:rsidR="00513EFD" w:rsidRPr="00F308E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308E1">
        <w:rPr>
          <w:rFonts w:ascii="Times New Roman" w:hAnsi="Times New Roman" w:cs="Times New Roman"/>
          <w:bCs/>
          <w:sz w:val="22"/>
          <w:szCs w:val="22"/>
        </w:rPr>
        <w:t>су у складу са Законом о буџетском систему, предвиђене посебне апропријације у Одлуци о</w:t>
      </w:r>
      <w:r w:rsidR="00513EFD" w:rsidRPr="00F308E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F308E1">
        <w:rPr>
          <w:rFonts w:ascii="Times New Roman" w:hAnsi="Times New Roman" w:cs="Times New Roman"/>
          <w:bCs/>
          <w:sz w:val="22"/>
          <w:szCs w:val="22"/>
        </w:rPr>
        <w:t>буџету из наведених прихода.</w:t>
      </w:r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Услов за коришћење остварених сопствених прихода за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одређену намену је да је расход планиран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у буџету.</w:t>
      </w:r>
      <w:proofErr w:type="gramEnd"/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Посебно наглашавамо да се може десити да дође до измена одређених прописа,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који би изазвали промене у пројекцији буџета за наредну годину, што може да има за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резултат и измене у предложеном обиму средстава.</w:t>
      </w:r>
      <w:proofErr w:type="gramEnd"/>
      <w:r w:rsidRPr="00514E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О томе ће буџетски корисници бити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благовремено обавештени, док ће се неопходна усклађивања вршити у оквиру буџетске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процедуре у сарадњи са корисницима на које ће наведене измене имати ефекта.</w:t>
      </w:r>
      <w:proofErr w:type="gramEnd"/>
    </w:p>
    <w:p w:rsidR="00F5007A" w:rsidRPr="00514EC9" w:rsidRDefault="00F5007A" w:rsidP="0051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14EC9">
        <w:rPr>
          <w:rFonts w:ascii="Times New Roman" w:hAnsi="Times New Roman" w:cs="Times New Roman"/>
          <w:bCs/>
          <w:sz w:val="22"/>
          <w:szCs w:val="22"/>
        </w:rPr>
        <w:t>Параметри за утврђивање прихода у две наредне фискалне године користиће се и за</w:t>
      </w:r>
      <w:r w:rsidR="00513EF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514EC9">
        <w:rPr>
          <w:rFonts w:ascii="Times New Roman" w:hAnsi="Times New Roman" w:cs="Times New Roman"/>
          <w:bCs/>
          <w:sz w:val="22"/>
          <w:szCs w:val="22"/>
        </w:rPr>
        <w:t>планирање приходне и расходне стране у финансијским плановима корисника буџета.</w:t>
      </w:r>
      <w:proofErr w:type="gramEnd"/>
    </w:p>
    <w:p w:rsidR="00513EFD" w:rsidRDefault="00DB2C93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НАПОМЕНА: </w:t>
      </w:r>
    </w:p>
    <w:p w:rsidR="009A18F0" w:rsidRPr="004C0CFF" w:rsidRDefault="009A18F0" w:rsidP="009A18F0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9A18F0">
        <w:rPr>
          <w:rFonts w:ascii="Times New Roman" w:eastAsia="Times New Roman" w:hAnsi="Times New Roman" w:cs="Times New Roman"/>
          <w:b/>
          <w:sz w:val="22"/>
          <w:szCs w:val="22"/>
        </w:rPr>
        <w:t xml:space="preserve">Јавно предузеће које користи или намерава да користи било који облик буџетске помоћи (субвенције, гаранције или другу врсту помоћи) дужно је да предложи </w:t>
      </w:r>
      <w:r w:rsidRPr="009A18F0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посебан програм који садржи програм коришћења помоћи, са временски ограниченом и мерљивом динамиком повећања ефикасности и унутрашњих промена које ће довести јавно предузеће у позицију да може да послује без ових облика помоћи или уз њихово смањење.</w:t>
      </w:r>
      <w:r w:rsidR="006C5273" w:rsidRPr="006C5273"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  <w:t xml:space="preserve"> </w:t>
      </w:r>
      <w:r w:rsidR="006C5273"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  <w:t>(Закон о јавним предузећима „Службени Гласник РС“, број 119/2012 и 116/2013).</w:t>
      </w:r>
    </w:p>
    <w:p w:rsidR="004C0CFF" w:rsidRPr="009A18F0" w:rsidRDefault="004C0CFF" w:rsidP="009A18F0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  <w:t>На основу Закона о јавном информисању и медијима („Службени Гласник РС“, број 83/2014)</w:t>
      </w:r>
      <w:r w:rsidR="006C5273"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  <w:t>, од 01. Јула 2015. године забрањено је финансирање издавача медија из јавних прихода, те се налаже ЈП ИПЦ Радио Хан да све своје обавезе које могу настати до прецизираног датума предвиди прецизно и измири их благовремено.</w:t>
      </w:r>
    </w:p>
    <w:p w:rsidR="009A18F0" w:rsidRDefault="009A18F0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513EFD" w:rsidRDefault="00513EFD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Default="00F5007A" w:rsidP="008E2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F5007A">
        <w:rPr>
          <w:rFonts w:ascii="Times New Roman" w:hAnsi="Times New Roman" w:cs="Times New Roman"/>
          <w:b/>
          <w:bCs/>
          <w:sz w:val="22"/>
          <w:szCs w:val="22"/>
        </w:rPr>
        <w:t>САДРЖАЈ ЗАХТЕВА БУЏЕТСКОГ КОРИСНИКА</w:t>
      </w:r>
    </w:p>
    <w:p w:rsidR="008E25BD" w:rsidRPr="008E25BD" w:rsidRDefault="008E25BD" w:rsidP="008E2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На основу Упутства за припрему буџета, корисници буџетских средстава израђују</w:t>
      </w:r>
      <w:r w:rsidR="006913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предлог средњорочног и годишњег финансијског плана.</w:t>
      </w:r>
      <w:proofErr w:type="gramEnd"/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Предлог финансијског плана корисника буџетских средстава за 2015.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наредне две</w:t>
      </w:r>
      <w:r w:rsidR="006913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године, треба да се састоји од :</w:t>
      </w:r>
    </w:p>
    <w:p w:rsidR="00F5007A" w:rsidRPr="00C620FE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E69F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C620FE">
        <w:rPr>
          <w:rFonts w:ascii="Times New Roman" w:hAnsi="Times New Roman" w:cs="Times New Roman"/>
          <w:b/>
          <w:bCs/>
          <w:sz w:val="22"/>
          <w:szCs w:val="22"/>
        </w:rPr>
        <w:t>захтева</w:t>
      </w:r>
      <w:proofErr w:type="gramEnd"/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 за текуће издатке, односно расхода и издатaка за трогодишњи период</w:t>
      </w:r>
      <w:r w:rsidR="0069139A" w:rsidRPr="00C620FE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C620FE">
        <w:rPr>
          <w:rFonts w:ascii="Times New Roman" w:hAnsi="Times New Roman" w:cs="Times New Roman"/>
          <w:b/>
          <w:bCs/>
          <w:sz w:val="22"/>
          <w:szCs w:val="22"/>
        </w:rPr>
        <w:t>исказане по буџетској класификацији, као и по програмској класификацији са подацима о</w:t>
      </w:r>
      <w:r w:rsidR="0069139A" w:rsidRPr="00C620FE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C620FE">
        <w:rPr>
          <w:rFonts w:ascii="Times New Roman" w:hAnsi="Times New Roman" w:cs="Times New Roman"/>
          <w:b/>
          <w:bCs/>
          <w:sz w:val="22"/>
          <w:szCs w:val="22"/>
        </w:rPr>
        <w:t>постојећим активностима и услугама буџетског корисника (Прилог: Табела 1),</w:t>
      </w:r>
    </w:p>
    <w:p w:rsidR="00F5007A" w:rsidRPr="00C620FE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proofErr w:type="gramStart"/>
      <w:r w:rsidRPr="00C620FE">
        <w:rPr>
          <w:rFonts w:ascii="Times New Roman" w:hAnsi="Times New Roman" w:cs="Times New Roman"/>
          <w:b/>
          <w:bCs/>
          <w:sz w:val="22"/>
          <w:szCs w:val="22"/>
        </w:rPr>
        <w:t>захтева</w:t>
      </w:r>
      <w:proofErr w:type="gramEnd"/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 за основна средства, (Прилог: Табела 2),</w:t>
      </w:r>
    </w:p>
    <w:p w:rsidR="00F5007A" w:rsidRPr="00C620FE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proofErr w:type="gramStart"/>
      <w:r w:rsidRPr="00C620FE">
        <w:rPr>
          <w:rFonts w:ascii="Times New Roman" w:hAnsi="Times New Roman" w:cs="Times New Roman"/>
          <w:b/>
          <w:bCs/>
          <w:sz w:val="22"/>
          <w:szCs w:val="22"/>
        </w:rPr>
        <w:t>захтева</w:t>
      </w:r>
      <w:proofErr w:type="gramEnd"/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 за додатна средства за буџетске издатке чије финансирање не може да</w:t>
      </w:r>
      <w:r w:rsidR="0069139A" w:rsidRPr="00C620FE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C620FE">
        <w:rPr>
          <w:rFonts w:ascii="Times New Roman" w:hAnsi="Times New Roman" w:cs="Times New Roman"/>
          <w:b/>
          <w:bCs/>
          <w:sz w:val="22"/>
          <w:szCs w:val="22"/>
        </w:rPr>
        <w:t>се усклади са ограничењима садржаним у инструкцијама из овог Упутства, као и са</w:t>
      </w:r>
      <w:r w:rsidR="0069139A" w:rsidRPr="00C620FE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C620FE">
        <w:rPr>
          <w:rFonts w:ascii="Times New Roman" w:hAnsi="Times New Roman" w:cs="Times New Roman"/>
          <w:b/>
          <w:bCs/>
          <w:sz w:val="22"/>
          <w:szCs w:val="22"/>
        </w:rPr>
        <w:t>предлогом приоритета који треба да буду размотрени у поступку доношења буџета за</w:t>
      </w:r>
      <w:r w:rsidR="0069139A" w:rsidRPr="00C620FE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C620FE">
        <w:rPr>
          <w:rFonts w:ascii="Times New Roman" w:hAnsi="Times New Roman" w:cs="Times New Roman"/>
          <w:b/>
          <w:bCs/>
          <w:sz w:val="22"/>
          <w:szCs w:val="22"/>
        </w:rPr>
        <w:t>наредну фискалну годину (Прилог: Табела 3),</w:t>
      </w: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69F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детаљно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писаног образложења расхода и издатака, као и извора</w:t>
      </w:r>
      <w:r w:rsidR="006913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финансирања,</w:t>
      </w:r>
    </w:p>
    <w:p w:rsidR="00F5007A" w:rsidRPr="000D00D9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0D00D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– </w:t>
      </w:r>
      <w:proofErr w:type="gramStart"/>
      <w:r w:rsidRPr="000D00D9">
        <w:rPr>
          <w:rFonts w:ascii="Times New Roman" w:hAnsi="Times New Roman" w:cs="Times New Roman"/>
          <w:b/>
          <w:bCs/>
          <w:sz w:val="22"/>
          <w:szCs w:val="22"/>
        </w:rPr>
        <w:t>детаљно</w:t>
      </w:r>
      <w:proofErr w:type="gramEnd"/>
      <w:r w:rsidRPr="000D00D9">
        <w:rPr>
          <w:rFonts w:ascii="Times New Roman" w:hAnsi="Times New Roman" w:cs="Times New Roman"/>
          <w:b/>
          <w:bCs/>
          <w:sz w:val="22"/>
          <w:szCs w:val="22"/>
        </w:rPr>
        <w:t xml:space="preserve"> писаних, попуњених и образложених </w:t>
      </w:r>
      <w:r w:rsidR="004045FA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образаца</w:t>
      </w:r>
      <w:r w:rsidRPr="000D00D9">
        <w:rPr>
          <w:rFonts w:ascii="Times New Roman" w:hAnsi="Times New Roman" w:cs="Times New Roman"/>
          <w:b/>
          <w:bCs/>
          <w:sz w:val="22"/>
          <w:szCs w:val="22"/>
        </w:rPr>
        <w:t xml:space="preserve"> за финансирање</w:t>
      </w:r>
      <w:r w:rsidR="0069139A" w:rsidRPr="000D00D9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0D00D9">
        <w:rPr>
          <w:rFonts w:ascii="Times New Roman" w:hAnsi="Times New Roman" w:cs="Times New Roman"/>
          <w:b/>
          <w:bCs/>
          <w:sz w:val="22"/>
          <w:szCs w:val="22"/>
        </w:rPr>
        <w:t>програма, програмских активности и пројеката по програмском моделу буџета, (Табела 8,</w:t>
      </w:r>
      <w:r w:rsidR="000D00D9" w:rsidRPr="000D00D9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8а и 8б)</w:t>
      </w:r>
    </w:p>
    <w:p w:rsidR="00F5007A" w:rsidRPr="004045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45FA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proofErr w:type="gramStart"/>
      <w:r w:rsidRPr="004045FA">
        <w:rPr>
          <w:rFonts w:ascii="Times New Roman" w:hAnsi="Times New Roman" w:cs="Times New Roman"/>
          <w:b/>
          <w:bCs/>
          <w:sz w:val="22"/>
          <w:szCs w:val="22"/>
        </w:rPr>
        <w:t>предлога</w:t>
      </w:r>
      <w:proofErr w:type="gramEnd"/>
      <w:r w:rsidRPr="004045FA">
        <w:rPr>
          <w:rFonts w:ascii="Times New Roman" w:hAnsi="Times New Roman" w:cs="Times New Roman"/>
          <w:b/>
          <w:bCs/>
          <w:sz w:val="22"/>
          <w:szCs w:val="22"/>
        </w:rPr>
        <w:t xml:space="preserve"> капиталних пројеката (по обрасц</w:t>
      </w:r>
      <w:r w:rsidR="004045FA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има</w:t>
      </w:r>
      <w:r w:rsidRPr="004045F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045FA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датим уз ово</w:t>
      </w:r>
      <w:r w:rsidRPr="004045FA">
        <w:rPr>
          <w:rFonts w:ascii="Times New Roman" w:hAnsi="Times New Roman" w:cs="Times New Roman"/>
          <w:b/>
          <w:bCs/>
          <w:sz w:val="22"/>
          <w:szCs w:val="22"/>
        </w:rPr>
        <w:t xml:space="preserve"> Упутств</w:t>
      </w:r>
      <w:r w:rsidR="004045FA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о</w:t>
      </w:r>
      <w:r w:rsidR="004045FA" w:rsidRPr="004045FA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- Табела 9 и 9а</w:t>
      </w:r>
      <w:r w:rsidRPr="004045FA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69F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предлог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пројеката који се финансирају из развојне помоћи ЕУ, који се</w:t>
      </w:r>
      <w:r w:rsidR="006913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 xml:space="preserve">планирају у 2015.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, односно пројекти који ће бити реализовани у 2015.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и две</w:t>
      </w:r>
      <w:r w:rsidR="006913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наредне године (предлог доставити у слободној форми са следећим обавезним</w:t>
      </w:r>
      <w:r w:rsidR="006913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елементима: назив пројекта, циљ пројекта, опис пројекта, буџет пројекта, финансијско</w:t>
      </w:r>
      <w:r w:rsidR="006913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учешће у пројекту, рокови почетка и завршетка пројекта, носилац пројекта и партнери).</w:t>
      </w: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69FA">
        <w:rPr>
          <w:rFonts w:ascii="Times New Roman" w:hAnsi="Times New Roman" w:cs="Times New Roman"/>
          <w:bCs/>
          <w:sz w:val="22"/>
          <w:szCs w:val="22"/>
        </w:rPr>
        <w:t>Поред тога обавезно треба попунити и следеће обрасце који се налазе у прилогу</w:t>
      </w:r>
      <w:r w:rsidR="0069139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Упутства:</w:t>
      </w:r>
    </w:p>
    <w:p w:rsidR="00F5007A" w:rsidRPr="00C620FE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C620FE">
        <w:rPr>
          <w:rFonts w:ascii="Times New Roman" w:hAnsi="Times New Roman" w:cs="Times New Roman"/>
          <w:b/>
          <w:bCs/>
          <w:sz w:val="22"/>
          <w:szCs w:val="22"/>
        </w:rPr>
        <w:t>– Образац – Предложени извори финансирања за период 2015-2017.</w:t>
      </w:r>
      <w:proofErr w:type="gramEnd"/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C620FE">
        <w:rPr>
          <w:rFonts w:ascii="Times New Roman" w:hAnsi="Times New Roman" w:cs="Times New Roman"/>
          <w:b/>
          <w:bCs/>
          <w:sz w:val="22"/>
          <w:szCs w:val="22"/>
        </w:rPr>
        <w:t>године</w:t>
      </w:r>
      <w:proofErr w:type="gramEnd"/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 - (табела 4);</w:t>
      </w:r>
    </w:p>
    <w:p w:rsidR="00F5007A" w:rsidRPr="00C620FE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20FE">
        <w:rPr>
          <w:rFonts w:ascii="Times New Roman" w:hAnsi="Times New Roman" w:cs="Times New Roman"/>
          <w:b/>
          <w:bCs/>
          <w:sz w:val="22"/>
          <w:szCs w:val="22"/>
        </w:rPr>
        <w:t>– Образац - Остали приходи и примања по економским класификацијама - (табела 5);</w:t>
      </w:r>
    </w:p>
    <w:p w:rsidR="00F5007A" w:rsidRPr="00C620FE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C620FE">
        <w:rPr>
          <w:rFonts w:ascii="Times New Roman" w:hAnsi="Times New Roman" w:cs="Times New Roman"/>
          <w:b/>
          <w:bCs/>
          <w:sz w:val="22"/>
          <w:szCs w:val="22"/>
        </w:rPr>
        <w:t>– Образац – Полазни елементи за утврђивање обима средстава за плате буџетских</w:t>
      </w:r>
      <w:r w:rsidR="0069139A" w:rsidRPr="00C620FE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C620FE">
        <w:rPr>
          <w:rFonts w:ascii="Times New Roman" w:hAnsi="Times New Roman" w:cs="Times New Roman"/>
          <w:b/>
          <w:bCs/>
          <w:sz w:val="22"/>
          <w:szCs w:val="22"/>
        </w:rPr>
        <w:t>корисника у 2015.</w:t>
      </w:r>
      <w:proofErr w:type="gramEnd"/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C620FE">
        <w:rPr>
          <w:rFonts w:ascii="Times New Roman" w:hAnsi="Times New Roman" w:cs="Times New Roman"/>
          <w:b/>
          <w:bCs/>
          <w:sz w:val="22"/>
          <w:szCs w:val="22"/>
        </w:rPr>
        <w:t>години</w:t>
      </w:r>
      <w:proofErr w:type="gramEnd"/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 (табела 6);</w:t>
      </w:r>
    </w:p>
    <w:p w:rsidR="00F5007A" w:rsidRPr="00C620FE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20FE">
        <w:rPr>
          <w:rFonts w:ascii="Times New Roman" w:hAnsi="Times New Roman" w:cs="Times New Roman"/>
          <w:b/>
          <w:bCs/>
          <w:sz w:val="22"/>
          <w:szCs w:val="22"/>
        </w:rPr>
        <w:t>– Образац – Преглед планираних средстава за плате 2015-2017 година по месецима</w:t>
      </w:r>
      <w:r w:rsidR="0069139A" w:rsidRPr="00C620FE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C620FE">
        <w:rPr>
          <w:rFonts w:ascii="Times New Roman" w:hAnsi="Times New Roman" w:cs="Times New Roman"/>
          <w:b/>
          <w:bCs/>
          <w:sz w:val="22"/>
          <w:szCs w:val="22"/>
        </w:rPr>
        <w:t>(таб</w:t>
      </w:r>
      <w:r w:rsidR="00C620FE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</w:t>
      </w:r>
      <w:r w:rsidRPr="00C620FE">
        <w:rPr>
          <w:rFonts w:ascii="Times New Roman" w:hAnsi="Times New Roman" w:cs="Times New Roman"/>
          <w:b/>
          <w:bCs/>
          <w:sz w:val="22"/>
          <w:szCs w:val="22"/>
        </w:rPr>
        <w:t xml:space="preserve"> 6а);</w:t>
      </w:r>
    </w:p>
    <w:p w:rsidR="00F5007A" w:rsidRPr="00C620FE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20FE">
        <w:rPr>
          <w:rFonts w:ascii="Times New Roman" w:hAnsi="Times New Roman" w:cs="Times New Roman"/>
          <w:b/>
          <w:bCs/>
          <w:sz w:val="22"/>
          <w:szCs w:val="22"/>
        </w:rPr>
        <w:t>– Образац– Додатни показатељи (број радно ангажованих лица) (табела 6б);</w:t>
      </w:r>
    </w:p>
    <w:p w:rsidR="00F5007A" w:rsidRPr="003B0A07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0A07">
        <w:rPr>
          <w:rFonts w:ascii="Times New Roman" w:hAnsi="Times New Roman" w:cs="Times New Roman"/>
          <w:b/>
          <w:bCs/>
          <w:sz w:val="22"/>
          <w:szCs w:val="22"/>
        </w:rPr>
        <w:t>– Образац – Јубиларне награде и отпремнине (табела 7);</w:t>
      </w:r>
    </w:p>
    <w:p w:rsidR="0069139A" w:rsidRPr="0069139A" w:rsidRDefault="0069139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Захтеви за финансирање попуњавају се на основу предложеног обима буџетских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средстава и они обухватају све расходе и издатке и захтевају висок степен одговорности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буџетских корисника за правилно и рационално распоређивање средстава по пројектима,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активностима и програмима.</w:t>
      </w:r>
      <w:proofErr w:type="gramEnd"/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Укупан збир свих захтева било ког буџетског корисника не сме да прелази укупан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обим средстава утврђен по критеријумима датим у овим смерницама.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У изузетним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случајевима, уколико се услед доношења нових прописа јавља потреба за програмским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активностима, које нису постојале у буџетима претходних година буџетски корисник подноси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захтев за додатно финансирање, као и предлог нове програмске активности и у обавези је да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детаљно писано образложи да се ради о новим активностима, услугама односно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програмима, за коју је потребно обезбедити додатна средства.</w:t>
      </w: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Захтеви за финансирање морају да представљају реалну процену финансијских потреба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корисника буџетских средстава, као и извора средстава из којих ће се ове потребе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финансирати.</w:t>
      </w:r>
      <w:proofErr w:type="gramEnd"/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69FA">
        <w:rPr>
          <w:rFonts w:ascii="Times New Roman" w:hAnsi="Times New Roman" w:cs="Times New Roman"/>
          <w:bCs/>
          <w:sz w:val="22"/>
          <w:szCs w:val="22"/>
        </w:rPr>
        <w:t>С тим у вези, потребно је навести све очекиване изворе средстава: приходе из буџета и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додатне приходе директних и индиректних корисника буџетских средстава односно приходе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који се остварују из додатних активности.</w:t>
      </w:r>
    </w:p>
    <w:p w:rsidR="00F5007A" w:rsidRPr="00064610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>За кориснике је исказивање расхода из других извора, који нису буџетски, посебно</w:t>
      </w:r>
      <w:r w:rsidR="00644035" w:rsidRPr="00064610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 xml:space="preserve"> </w:t>
      </w:r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важно, обзиром да </w:t>
      </w:r>
      <w:r w:rsidR="00064610" w:rsidRPr="00064610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 xml:space="preserve">се, </w:t>
      </w:r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>у складу са Законом о буџетском систему</w:t>
      </w:r>
      <w:r w:rsidR="00064610" w:rsidRPr="00064610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 xml:space="preserve">, </w:t>
      </w:r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предви</w:t>
      </w:r>
      <w:r w:rsidR="00064610" w:rsidRPr="00064610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>ђају</w:t>
      </w:r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посебне</w:t>
      </w:r>
      <w:r w:rsidR="00644035" w:rsidRPr="00064610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 xml:space="preserve"> </w:t>
      </w:r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>апропријације у Одлуци о буџету за расходе, који се финансирају само из њихових</w:t>
      </w:r>
      <w:r w:rsidR="00644035" w:rsidRPr="00064610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 xml:space="preserve"> </w:t>
      </w:r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сопствених прихода. </w:t>
      </w:r>
      <w:proofErr w:type="gramStart"/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>Услов за коришћење остварених сопствених прихода за одређену</w:t>
      </w:r>
      <w:r w:rsidR="00644035" w:rsidRPr="00064610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 xml:space="preserve"> </w:t>
      </w:r>
      <w:r w:rsidRPr="00064610">
        <w:rPr>
          <w:rFonts w:ascii="Times New Roman" w:hAnsi="Times New Roman" w:cs="Times New Roman"/>
          <w:b/>
          <w:bCs/>
          <w:sz w:val="22"/>
          <w:szCs w:val="22"/>
          <w:u w:val="single"/>
        </w:rPr>
        <w:t>намену биће да је расход планиран у буџету</w:t>
      </w:r>
      <w:r w:rsidR="00064610">
        <w:rPr>
          <w:rFonts w:ascii="Times New Roman" w:hAnsi="Times New Roman" w:cs="Times New Roman"/>
          <w:bCs/>
          <w:sz w:val="22"/>
          <w:szCs w:val="22"/>
          <w:lang w:val="sr-Cyrl-CS"/>
        </w:rPr>
        <w:t>.</w:t>
      </w:r>
      <w:proofErr w:type="gramEnd"/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Директни корисник буџетских средстава одговоран је за благовремено достављање овог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Упутства индиректним корисницима буџетских средстава у њиховој надлежности, као и за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прикупљање предлога финансијских планова индиректних корисника буџетских средстава, и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њихово обједињавање.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Тако обједињени финансијски планови свих индиректних корисника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буџетских средстава достављају се, такође у року.</w:t>
      </w:r>
      <w:proofErr w:type="gramEnd"/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69FA">
        <w:rPr>
          <w:rFonts w:ascii="Times New Roman" w:hAnsi="Times New Roman" w:cs="Times New Roman"/>
          <w:bCs/>
          <w:sz w:val="22"/>
          <w:szCs w:val="22"/>
        </w:rPr>
        <w:t>Средства за издатке за основне и средње школе, као и за Центар за социјални рад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и Дом здравља</w:t>
      </w:r>
      <w:r w:rsidRPr="002E69FA">
        <w:rPr>
          <w:rFonts w:ascii="Times New Roman" w:hAnsi="Times New Roman" w:cs="Times New Roman"/>
          <w:bCs/>
          <w:sz w:val="22"/>
          <w:szCs w:val="22"/>
        </w:rPr>
        <w:t>, који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су индиректни корисници буџета Републике Србије, у захтевима се исказују на економској</w:t>
      </w: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класификацији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463 – Трансфери осталим нивоима власти.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Истовремено, за ове кориснике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достављају се и подаци исказани према врстама расхода у Табели 1, 2.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3.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који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су садржани у</w:t>
      </w: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износу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исказаном на економској класификацији 463.</w:t>
      </w:r>
    </w:p>
    <w:p w:rsidR="00F5007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У складу са чланом 122.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Закона о буџетском систему, одредбе овог закона, које се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односе на програмски део буџета, примењиваће се поступним увођењем за поједине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кориснике средстава буџета Републике Србије, а у целини од доношења закона о буџету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Републике Србије и одлука о буџетима локалне власти за 2015.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.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У том смислу постоји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 xml:space="preserve">обавеза корисника буџетских </w:t>
      </w:r>
      <w:r w:rsidRPr="002E69FA">
        <w:rPr>
          <w:rFonts w:ascii="Times New Roman" w:hAnsi="Times New Roman" w:cs="Times New Roman"/>
          <w:bCs/>
          <w:sz w:val="22"/>
          <w:szCs w:val="22"/>
        </w:rPr>
        <w:lastRenderedPageBreak/>
        <w:t>средстава да припреме предлоге финансијских планова (као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саставног дела програма пословања/рада) по програмском моделу.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Упућујемо кориснике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буџета да се на интернет страници Министарства финансија налази Упутство за израду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програмског буџета које је потребно користити за припрему предлога финансијских планова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за 2015.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годину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и две наредне године.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Нарочито је потребно обратити пажњу на шифарник</w:t>
      </w:r>
      <w:r w:rsidR="0064403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програма, програмских активности и пројеката који су дати у прилогу овог упутства.</w:t>
      </w:r>
      <w:proofErr w:type="gramEnd"/>
    </w:p>
    <w:p w:rsidR="00F5007A" w:rsidRPr="00874CD4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74CD4">
        <w:rPr>
          <w:rFonts w:ascii="Times New Roman" w:hAnsi="Times New Roman" w:cs="Times New Roman"/>
          <w:b/>
          <w:bCs/>
          <w:sz w:val="22"/>
          <w:szCs w:val="22"/>
          <w:u w:val="single"/>
        </w:rPr>
        <w:t>1. Захтев за текуће издатке (Табела 1)</w:t>
      </w:r>
    </w:p>
    <w:p w:rsidR="00F5007A" w:rsidRPr="002E69FA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Захтев за текуће издатке сачињава се на основу процењеног обима буџетских средстава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за период 2015-2017.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>, као и из осталих извора средстава, планираних за финансирање у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 xml:space="preserve">2015. </w:t>
      </w:r>
      <w:proofErr w:type="gramStart"/>
      <w:r w:rsidRPr="002E69F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2E69FA">
        <w:rPr>
          <w:rFonts w:ascii="Times New Roman" w:hAnsi="Times New Roman" w:cs="Times New Roman"/>
          <w:bCs/>
          <w:sz w:val="22"/>
          <w:szCs w:val="22"/>
        </w:rPr>
        <w:t xml:space="preserve"> наредне две године.</w:t>
      </w:r>
    </w:p>
    <w:p w:rsidR="00BE5814" w:rsidRDefault="00F5007A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2E69FA">
        <w:rPr>
          <w:rFonts w:ascii="Times New Roman" w:hAnsi="Times New Roman" w:cs="Times New Roman"/>
          <w:bCs/>
          <w:sz w:val="22"/>
          <w:szCs w:val="22"/>
        </w:rPr>
        <w:t>Захтев за текуће издатке мора да садржи писано образложење захтева и табеле, и то: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</w:p>
    <w:p w:rsidR="00BE5814" w:rsidRDefault="00BE5814" w:rsidP="002E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2E69FA">
        <w:rPr>
          <w:rFonts w:ascii="Times New Roman" w:hAnsi="Times New Roman" w:cs="Times New Roman"/>
          <w:bCs/>
          <w:sz w:val="22"/>
          <w:szCs w:val="22"/>
        </w:rPr>
        <w:t>А. Писмено образложење даје податке о организационој структури и активностима као и о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броју запослених у директном кориснику буџетских средстава; (навести колико износе укупно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E69FA">
        <w:rPr>
          <w:rFonts w:ascii="Times New Roman" w:hAnsi="Times New Roman" w:cs="Times New Roman"/>
          <w:bCs/>
          <w:sz w:val="22"/>
          <w:szCs w:val="22"/>
        </w:rPr>
        <w:t>планирана средства у оквиру Захтева за текуће издатке, и колико од укупног износа по сваком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 xml:space="preserve">извору финансирања: из буџета </w:t>
      </w:r>
      <w:r w:rsidR="00684658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BE5814">
        <w:rPr>
          <w:rFonts w:ascii="Times New Roman" w:hAnsi="Times New Roman" w:cs="Times New Roman"/>
          <w:bCs/>
          <w:sz w:val="22"/>
          <w:szCs w:val="22"/>
        </w:rPr>
        <w:t>, сопствених средстава, донација...) Дати објашњење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планираних средстава на свакој економској класификацији посебно, наводећи: извор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финансирања, правни основ, методологију која је коришћена приликом израчунавања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трошкова.</w:t>
      </w:r>
    </w:p>
    <w:p w:rsidR="00BE5814" w:rsidRPr="00BE5814" w:rsidRDefault="00BE5814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BE5814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E5814">
        <w:rPr>
          <w:rFonts w:ascii="Times New Roman" w:hAnsi="Times New Roman" w:cs="Times New Roman"/>
          <w:bCs/>
          <w:sz w:val="22"/>
          <w:szCs w:val="22"/>
        </w:rPr>
        <w:t>Б. Табеле:</w:t>
      </w:r>
    </w:p>
    <w:p w:rsidR="00F5007A" w:rsidRPr="00BE5814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E5814">
        <w:rPr>
          <w:rFonts w:ascii="Times New Roman" w:hAnsi="Times New Roman" w:cs="Times New Roman"/>
          <w:bCs/>
          <w:sz w:val="22"/>
          <w:szCs w:val="22"/>
        </w:rPr>
        <w:t xml:space="preserve">1)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табела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која даје детаљан приказ средстава потребних за финансирање активности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буџетског корисника (захтев за текуће издатке – табела 1),</w:t>
      </w:r>
    </w:p>
    <w:p w:rsidR="00BE5814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BE5814">
        <w:rPr>
          <w:rFonts w:ascii="Times New Roman" w:hAnsi="Times New Roman" w:cs="Times New Roman"/>
          <w:bCs/>
          <w:sz w:val="22"/>
          <w:szCs w:val="22"/>
        </w:rPr>
        <w:t xml:space="preserve">2)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табела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предложених извора финансирања за период 2015-2017.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у којој би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буџетски корисници требало утврдити све изворе прихода за финансирање својих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активности, укључујући и буџетска средства (у складу са буџетским ограничењима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датим у Упутству за припрему буџета), сопствене изворе прихода, донације и остале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изворе средстава, уколико их има (табела 4),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</w:p>
    <w:p w:rsidR="00F5007A" w:rsidRPr="00BE5814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E5814">
        <w:rPr>
          <w:rFonts w:ascii="Times New Roman" w:hAnsi="Times New Roman" w:cs="Times New Roman"/>
          <w:bCs/>
          <w:sz w:val="22"/>
          <w:szCs w:val="22"/>
        </w:rPr>
        <w:t xml:space="preserve">3)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табела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осталих прихода и примања по економским класификацијама за период 2015-2017.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>, са навођењем правног основа за сваки остали извор финансирања, осим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за средства из буџета (остали приходи и примања - табела 5),</w:t>
      </w:r>
    </w:p>
    <w:p w:rsidR="00F5007A" w:rsidRPr="00BE5814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E5814">
        <w:rPr>
          <w:rFonts w:ascii="Times New Roman" w:hAnsi="Times New Roman" w:cs="Times New Roman"/>
          <w:bCs/>
          <w:sz w:val="22"/>
          <w:szCs w:val="22"/>
        </w:rPr>
        <w:t xml:space="preserve">4)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табела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у којој се наводе подаци о запосленима, њиховом звању, занимању, односно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послу, основици за обрачун плате, коефицијентима и радном стажу (полазни елементи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за утврђивање обима средстава за плате буџетских корисника-табела 6) и</w:t>
      </w:r>
    </w:p>
    <w:p w:rsidR="00F5007A" w:rsidRPr="00BE5814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E5814">
        <w:rPr>
          <w:rFonts w:ascii="Times New Roman" w:hAnsi="Times New Roman" w:cs="Times New Roman"/>
          <w:bCs/>
          <w:sz w:val="22"/>
          <w:szCs w:val="22"/>
        </w:rPr>
        <w:t xml:space="preserve">5)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табела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која даје преглед планираних средстава за плате за период 2015-2017.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>.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по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месецима и изворима финансирања за све запослене (табела 6а),</w:t>
      </w:r>
    </w:p>
    <w:p w:rsidR="00F5007A" w:rsidRPr="00BE5814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E5814">
        <w:rPr>
          <w:rFonts w:ascii="Times New Roman" w:hAnsi="Times New Roman" w:cs="Times New Roman"/>
          <w:bCs/>
          <w:sz w:val="22"/>
          <w:szCs w:val="22"/>
        </w:rPr>
        <w:t xml:space="preserve">6)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табела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у којој се исказују додатни показатељи односно број радно ангажованих лица у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 xml:space="preserve">2014.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години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и процена за период 2015-2017.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(табела 6б),</w:t>
      </w:r>
    </w:p>
    <w:p w:rsidR="00F5007A" w:rsidRDefault="00F5007A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BE5814">
        <w:rPr>
          <w:rFonts w:ascii="Times New Roman" w:hAnsi="Times New Roman" w:cs="Times New Roman"/>
          <w:bCs/>
          <w:sz w:val="22"/>
          <w:szCs w:val="22"/>
        </w:rPr>
        <w:t xml:space="preserve">7) 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табела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која даје преглед броја запослених као потребна средства за исплату јубиларне</w:t>
      </w:r>
      <w:r w:rsidR="00BE581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E5814">
        <w:rPr>
          <w:rFonts w:ascii="Times New Roman" w:hAnsi="Times New Roman" w:cs="Times New Roman"/>
          <w:bCs/>
          <w:sz w:val="22"/>
          <w:szCs w:val="22"/>
        </w:rPr>
        <w:t>награде и отпремнине запосленима 2015-2017. (</w:t>
      </w:r>
      <w:proofErr w:type="gramStart"/>
      <w:r w:rsidRPr="00BE5814">
        <w:rPr>
          <w:rFonts w:ascii="Times New Roman" w:hAnsi="Times New Roman" w:cs="Times New Roman"/>
          <w:bCs/>
          <w:sz w:val="22"/>
          <w:szCs w:val="22"/>
        </w:rPr>
        <w:t>табела</w:t>
      </w:r>
      <w:proofErr w:type="gramEnd"/>
      <w:r w:rsidRPr="00BE5814">
        <w:rPr>
          <w:rFonts w:ascii="Times New Roman" w:hAnsi="Times New Roman" w:cs="Times New Roman"/>
          <w:bCs/>
          <w:sz w:val="22"/>
          <w:szCs w:val="22"/>
        </w:rPr>
        <w:t xml:space="preserve"> 7).</w:t>
      </w:r>
    </w:p>
    <w:p w:rsidR="00BE5814" w:rsidRPr="00BE5814" w:rsidRDefault="00BE5814" w:rsidP="00BE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BE5814" w:rsidRDefault="00F5007A" w:rsidP="006F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E5814">
        <w:rPr>
          <w:rFonts w:ascii="Times New Roman" w:hAnsi="Times New Roman" w:cs="Times New Roman"/>
          <w:b/>
          <w:bCs/>
          <w:sz w:val="22"/>
          <w:szCs w:val="22"/>
          <w:u w:val="single"/>
        </w:rPr>
        <w:t>2. Захтев за основна средства (табела 2)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>Захтев за основна средства (класа 5) корисник буџетских средстава доставља за: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набавку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опреме;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средства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за капиталне пројекте започете у претходним годинама;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за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нове капиталне пројекте, који, по процени директног корисника буџетских</w:t>
      </w:r>
      <w:r w:rsid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средстава, представљају приоритете које треба размотрити у поступку доношења</w:t>
      </w:r>
      <w:r w:rsid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 xml:space="preserve">буџета за 2015.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наредне две године.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>Захтев за основна средства састоји се из:</w:t>
      </w:r>
    </w:p>
    <w:p w:rsidR="00F5007A" w:rsidRPr="00B8634A" w:rsidRDefault="00F5007A" w:rsidP="00B863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eastAsia="SymbolMT" w:hAnsi="Times New Roman" w:cs="Times New Roman"/>
          <w:bCs/>
          <w:sz w:val="22"/>
          <w:szCs w:val="22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писменог образложења, којим се сваки појединачни захтев детаљно описује и правда</w:t>
      </w:r>
      <w:r w:rsidR="00B8634A" w:rsidRP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(назив појединих врста инвестиција, почетак реализације, план набавки и трошења</w:t>
      </w:r>
      <w:r w:rsidR="00B8634A" w:rsidRP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средстава, време завршетка, резултат успешности реализације, процена будућих</w:t>
      </w:r>
      <w:r w:rsidR="00B8634A" w:rsidRP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трошкова који проистичу из рада и одржавања основних средстава по завршетку</w:t>
      </w:r>
      <w:r w:rsidR="00B8634A" w:rsidRP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радова), и</w:t>
      </w:r>
    </w:p>
    <w:p w:rsidR="00F5007A" w:rsidRPr="00B8634A" w:rsidRDefault="00F5007A" w:rsidP="00B863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lastRenderedPageBreak/>
        <w:t>износа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средстава потребних за финансирање основних средстава, који се исказују у табели 2 по изворима и уколико је то потребно, наводи</w:t>
      </w:r>
      <w:r w:rsidR="00B8634A" w:rsidRP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динамику реализације пројекта као и процену укупне вредности.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Уколико се у табели 2 на истој економској класификацији искаже укупан износ</w:t>
      </w:r>
      <w:r w:rsid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потребан за набавку више различитих типова односно врста основног средства, потребно је у</w:t>
      </w:r>
      <w:r w:rsid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образложењу захтева исказати појединачно износе по ближим врстама.</w:t>
      </w:r>
      <w:proofErr w:type="gramEnd"/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Хронолошким редом треба навести предложену динамику планирања набавке</w:t>
      </w:r>
      <w:r w:rsidR="00B8634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основног средства.</w:t>
      </w:r>
      <w:proofErr w:type="gramEnd"/>
    </w:p>
    <w:p w:rsidR="00B8634A" w:rsidRDefault="00B8634A" w:rsidP="00B86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</w:pPr>
    </w:p>
    <w:p w:rsidR="00F5007A" w:rsidRPr="00B8634A" w:rsidRDefault="0009748A" w:rsidP="006F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>2а</w:t>
      </w:r>
      <w:r w:rsidR="00B8634A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 xml:space="preserve"> </w:t>
      </w:r>
      <w:proofErr w:type="gramStart"/>
      <w:r w:rsidR="00F5007A" w:rsidRPr="00B8634A">
        <w:rPr>
          <w:rFonts w:ascii="Times New Roman" w:hAnsi="Times New Roman" w:cs="Times New Roman"/>
          <w:b/>
          <w:bCs/>
          <w:sz w:val="22"/>
          <w:szCs w:val="22"/>
          <w:u w:val="single"/>
        </w:rPr>
        <w:t>Преглед капиталних пројеката (Табела 9 и Табела 9а.)</w:t>
      </w:r>
      <w:proofErr w:type="gramEnd"/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Буџетски корисници који планирају реализацију капиталних пројеката морају доставити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списак капиталних пројеката са процењеном вредношћу на прописаним обрасцима-Преглед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капиталних пројеката за период 2015-2017.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>.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>Приликом планирања буџета капиталних пројеката за три године потребно је поред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средстава из буџета локалне самоуправе, укључити и средства пројектних зајмова (донације,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средства буџета Републике Србије итд.) намењена за њихову реализацију само у износу за који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се процењује да ће бити повучен у тој години, имајући у виду статус пројектног зајма, уговором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дефинисане рокове, услове и динамику повлачења средстава итд.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Корисници буџета достављају кратко писмено образложење за сваки капитални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пројекат за сваку годину посебно, и то са планираним роковима почетка и завршетка фазе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припреме и фазе реализације.</w:t>
      </w:r>
      <w:proofErr w:type="gramEnd"/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09748A">
        <w:rPr>
          <w:rFonts w:ascii="Times New Roman" w:hAnsi="Times New Roman" w:cs="Times New Roman"/>
          <w:b/>
          <w:bCs/>
          <w:sz w:val="22"/>
          <w:szCs w:val="22"/>
          <w:u w:val="single"/>
        </w:rPr>
        <w:t>Фаза припреме</w:t>
      </w:r>
      <w:r w:rsidRPr="00B8634A">
        <w:rPr>
          <w:rFonts w:ascii="Times New Roman" w:hAnsi="Times New Roman" w:cs="Times New Roman"/>
          <w:bCs/>
          <w:sz w:val="22"/>
          <w:szCs w:val="22"/>
        </w:rPr>
        <w:t xml:space="preserve"> укључује активности на обезбеђивању земљишта, изради пројектно-техничке документације и прибављању неопходних дозвола и сагласности, односно активности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неопходне за стварање услова за почетак реализације капиталног пројекта.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Фаза припреме се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завршава закључењем уговора, па је потребно укључити и законом прописане рокове за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спровођење поступка јавне набавке.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Овде је потребно навести оквирне рокове за наведене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активности (почетак и број месеци потребних за израду пројекта, рокови за спровођење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поступка јавне набавке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,…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>)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9748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Фаза </w:t>
      </w:r>
      <w:proofErr w:type="gramStart"/>
      <w:r w:rsidRPr="0009748A">
        <w:rPr>
          <w:rFonts w:ascii="Times New Roman" w:hAnsi="Times New Roman" w:cs="Times New Roman"/>
          <w:b/>
          <w:bCs/>
          <w:sz w:val="22"/>
          <w:szCs w:val="22"/>
          <w:u w:val="single"/>
        </w:rPr>
        <w:t>реализације</w:t>
      </w:r>
      <w:r w:rsidRPr="00B8634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укључује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активности након закључења уговора о радовима, односно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набавци добара и услуга, као и активности у реализацији уговора, у складу са дефинисаним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условима, роковима и динамичким плановима. За ову фазу потребно је навести оквирни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почетак и број месеци потребних за реализацију и предвиђени датум за почетак коришћења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 xml:space="preserve">објекта, односно набавке добра или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услуге .</w:t>
      </w:r>
      <w:proofErr w:type="gramEnd"/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Потребно је укратко дати и технички опис пројекта (дужина пута, површина објекта,</w:t>
      </w:r>
      <w:r w:rsidR="0009748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опрема, машине и сл.).</w:t>
      </w:r>
      <w:proofErr w:type="gramEnd"/>
    </w:p>
    <w:p w:rsidR="0009748A" w:rsidRDefault="0009748A" w:rsidP="00097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</w:pPr>
    </w:p>
    <w:p w:rsidR="00F5007A" w:rsidRPr="0009748A" w:rsidRDefault="00F5007A" w:rsidP="00B33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9748A">
        <w:rPr>
          <w:rFonts w:ascii="Times New Roman" w:hAnsi="Times New Roman" w:cs="Times New Roman"/>
          <w:b/>
          <w:bCs/>
          <w:sz w:val="22"/>
          <w:szCs w:val="22"/>
          <w:u w:val="single"/>
        </w:rPr>
        <w:t>3. Захтев за додатна средства (табела 3)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Напомињемо да су корисници буџетских средстава при изради финансијских планова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дужни да се строго придржавају предвиђених оквира могућег повећања или задржавања на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истом нивоу појединих издатака датим у овим смерницама.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Међутим, уколико и поред тога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имају потребе за додатним средствима за неке од намена текућег финансирања, тај проблем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решава се преко захтева за додатним средствима.</w:t>
      </w:r>
      <w:proofErr w:type="gramEnd"/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>Захтев за додатна средства пружа директном и индиректном кориснику буџетских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средстава могућност да тражи недостајућа средства за финансирање и то: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текућих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активности, која се по процени директног корисника буџетских средстава не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 xml:space="preserve">могу подмирити из оквира предложеног обима буџетских средстава за период 2015-2017.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године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>;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нових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активности и услуга по приоритетима и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нове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активности чије се финансирање планира из других извора, као што су донације,</w:t>
      </w:r>
    </w:p>
    <w:p w:rsidR="00F5007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односно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трансфери.</w:t>
      </w:r>
    </w:p>
    <w:p w:rsidR="00EF183A" w:rsidRPr="00EF183A" w:rsidRDefault="00EF183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Захтев за додатна средства, поред табеларног дела, састоји се и из писаног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образложења, којим се појединачно описује и правда потреба за финансирањем, и износа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средстава потребних за финансирање сваке од појединачно тражених активности односно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услуга, које се исказује у таб 3.</w:t>
      </w:r>
      <w:proofErr w:type="gramEnd"/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lastRenderedPageBreak/>
        <w:t>Примера ради, уколико корисник има три захтева за додатно финансирање – попуњава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три табеле 3, у свакој уписује назив захтева (повећање броја запослених, текуће одржавање –кречење, трошкови осигурања) и на свакој уписује редослед приоритета по важности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(приоритет 1, приоритет 2, приоритет 3, итд.).</w:t>
      </w:r>
      <w:proofErr w:type="gramEnd"/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>У писаном образложењу, поред правног основа за извршавање наведеног расхода,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потребно је дати аргументацију захтева, која би требало да пружи одговоре на следећа питања: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да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ли постоји правни основ за активности за које се траже средства,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у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чему се огледа приоритет ове активности у односу на друге,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шта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је крајњи циљ који се постиже,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34A">
        <w:rPr>
          <w:rFonts w:ascii="Times New Roman" w:hAnsi="Times New Roman" w:cs="Times New Roman"/>
          <w:bCs/>
          <w:sz w:val="22"/>
          <w:szCs w:val="22"/>
        </w:rPr>
        <w:t xml:space="preserve">–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којим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се методама стиже до жељеног циља.</w:t>
      </w: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Тражена средства би требало да буду приказана појединачно по економској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класификацији, а писано образложење треба да садржи и методологију каја се користи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приликом израчунавања трошкова.</w:t>
      </w:r>
      <w:proofErr w:type="gramEnd"/>
      <w:r w:rsidRPr="00B8634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Писано образложење би такође требало да документује да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ли захтев представаља једнократни трошак или постоји потреба да се финансирање продужи,</w:t>
      </w:r>
      <w:r w:rsidR="00EF183A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као и изворе финансирања.</w:t>
      </w:r>
      <w:proofErr w:type="gramEnd"/>
    </w:p>
    <w:p w:rsidR="00EF183A" w:rsidRDefault="00EF183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Без детаљног писаног образложења и навођења правног основа за сваку врсту расхода,</w:t>
      </w:r>
      <w:r w:rsidR="00C02C6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као и извора средстава из додатних активности, неће се одобрити коришћење средстава из</w:t>
      </w:r>
      <w:r w:rsidR="00C02C6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додатних активности.</w:t>
      </w:r>
      <w:proofErr w:type="gramEnd"/>
    </w:p>
    <w:p w:rsidR="00F5007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Уколико буџетски корисник извршава расходе у оквиру више функционалних</w:t>
      </w:r>
      <w:r w:rsidR="00C02C6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класификација, за сваку функцију посебно подноси захтев за додатна средства.</w:t>
      </w:r>
      <w:proofErr w:type="gramEnd"/>
    </w:p>
    <w:p w:rsidR="00C02C61" w:rsidRPr="00C02C61" w:rsidRDefault="00C02C61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Default="00F5007A" w:rsidP="00B33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</w:pPr>
      <w:r w:rsidRPr="00C02C61">
        <w:rPr>
          <w:rFonts w:ascii="Times New Roman" w:hAnsi="Times New Roman" w:cs="Times New Roman"/>
          <w:b/>
          <w:bCs/>
          <w:sz w:val="22"/>
          <w:szCs w:val="22"/>
          <w:u w:val="single"/>
        </w:rPr>
        <w:t>4. Захтев за финансирање пројеката, програмских активности програма по</w:t>
      </w:r>
      <w:r w:rsidR="00B33133"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  <w:t xml:space="preserve"> </w:t>
      </w:r>
      <w:r w:rsidRPr="00C02C61">
        <w:rPr>
          <w:rFonts w:ascii="Times New Roman" w:hAnsi="Times New Roman" w:cs="Times New Roman"/>
          <w:b/>
          <w:bCs/>
          <w:sz w:val="22"/>
          <w:szCs w:val="22"/>
          <w:u w:val="single"/>
        </w:rPr>
        <w:t>„програмском моделу</w:t>
      </w:r>
      <w:proofErr w:type="gramStart"/>
      <w:r w:rsidRPr="00C02C61">
        <w:rPr>
          <w:rFonts w:ascii="Times New Roman" w:hAnsi="Times New Roman" w:cs="Times New Roman"/>
          <w:b/>
          <w:bCs/>
          <w:sz w:val="22"/>
          <w:szCs w:val="22"/>
          <w:u w:val="single"/>
        </w:rPr>
        <w:t>“ (</w:t>
      </w:r>
      <w:proofErr w:type="gramEnd"/>
      <w:r w:rsidRPr="00C02C61">
        <w:rPr>
          <w:rFonts w:ascii="Times New Roman" w:hAnsi="Times New Roman" w:cs="Times New Roman"/>
          <w:b/>
          <w:bCs/>
          <w:sz w:val="22"/>
          <w:szCs w:val="22"/>
          <w:u w:val="single"/>
        </w:rPr>
        <w:t>табеле 8, 8а и 8б)</w:t>
      </w:r>
    </w:p>
    <w:p w:rsidR="00C02C61" w:rsidRPr="00C02C61" w:rsidRDefault="00C02C61" w:rsidP="00C02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sr-Cyrl-CS"/>
        </w:rPr>
      </w:pPr>
    </w:p>
    <w:p w:rsidR="00F5007A" w:rsidRPr="00B8634A" w:rsidRDefault="00F5007A" w:rsidP="00B8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B8634A">
        <w:rPr>
          <w:rFonts w:ascii="Times New Roman" w:hAnsi="Times New Roman" w:cs="Times New Roman"/>
          <w:bCs/>
          <w:sz w:val="22"/>
          <w:szCs w:val="22"/>
        </w:rPr>
        <w:t>Упутство за израду програмског буџета објављено је на сајту Министарства финансија и у</w:t>
      </w:r>
      <w:r w:rsidR="00C02C6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њему је дато детаљно образложење методологије припреме пројеката, програмских</w:t>
      </w:r>
      <w:r w:rsidR="00C02C6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активности и програма, дефиниције основних појмова као и Анекс 5 - Униформни програми и</w:t>
      </w:r>
      <w:r w:rsidR="00C02C61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B8634A">
        <w:rPr>
          <w:rFonts w:ascii="Times New Roman" w:hAnsi="Times New Roman" w:cs="Times New Roman"/>
          <w:bCs/>
          <w:sz w:val="22"/>
          <w:szCs w:val="22"/>
        </w:rPr>
        <w:t>програмске активности јединица локалне самоуправе.</w:t>
      </w:r>
      <w:proofErr w:type="gramEnd"/>
    </w:p>
    <w:p w:rsidR="00F5007A" w:rsidRPr="00031CD2" w:rsidRDefault="00F5007A" w:rsidP="00031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031CD2">
        <w:rPr>
          <w:rFonts w:ascii="Times New Roman" w:hAnsi="Times New Roman" w:cs="Times New Roman"/>
          <w:bCs/>
          <w:sz w:val="22"/>
          <w:szCs w:val="22"/>
        </w:rPr>
        <w:t xml:space="preserve">Пo пoтрeби, JЛС утврђују дoдaтнe прojeктe </w:t>
      </w:r>
      <w:r w:rsidR="00684658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– у оквиру дефинисаних програма односно програмских активности, </w:t>
      </w:r>
      <w:r w:rsidRPr="00031CD2">
        <w:rPr>
          <w:rFonts w:ascii="Times New Roman" w:hAnsi="Times New Roman" w:cs="Times New Roman"/>
          <w:bCs/>
          <w:sz w:val="22"/>
          <w:szCs w:val="22"/>
        </w:rPr>
        <w:t>у склaду сa свojим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спeцифичним надлежностима и својим стрaтeшким плaнoвимa и циљeвимa.</w:t>
      </w:r>
      <w:proofErr w:type="gramEnd"/>
    </w:p>
    <w:p w:rsidR="00F5007A" w:rsidRPr="00031CD2" w:rsidRDefault="00F5007A" w:rsidP="00031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031CD2">
        <w:rPr>
          <w:rFonts w:ascii="Times New Roman" w:hAnsi="Times New Roman" w:cs="Times New Roman"/>
          <w:bCs/>
          <w:sz w:val="22"/>
          <w:szCs w:val="22"/>
        </w:rPr>
        <w:t>СКГO је утврдила и нaкнaднo дoстaвила JЛС и листу унифoрмних индикатора које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достављамо у прилогу овог упутства.</w:t>
      </w:r>
      <w:proofErr w:type="gramEnd"/>
      <w:r w:rsidRPr="00031CD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031CD2">
        <w:rPr>
          <w:rFonts w:ascii="Times New Roman" w:hAnsi="Times New Roman" w:cs="Times New Roman"/>
          <w:bCs/>
          <w:sz w:val="22"/>
          <w:szCs w:val="22"/>
        </w:rPr>
        <w:t>Применом ових индикатора пружају се подаци о општим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достигнућима униформних прoгрaма и прoгрaмских aктивнoсти, као и статистички подаци из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домена униформних прoгрaма и прoгрaмских aктивнoсти.</w:t>
      </w:r>
      <w:proofErr w:type="gramEnd"/>
      <w:r w:rsidRPr="00031CD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031CD2">
        <w:rPr>
          <w:rFonts w:ascii="Times New Roman" w:hAnsi="Times New Roman" w:cs="Times New Roman"/>
          <w:bCs/>
          <w:sz w:val="22"/>
          <w:szCs w:val="22"/>
        </w:rPr>
        <w:t>JЛС имajу oбaвeзу да прате и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извeштaвaју o врeднoстимa које се мере утврђеним униформним индикаторима, као дeo својих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рeдoвних oбaвeзa извeштaвaњa.</w:t>
      </w:r>
      <w:proofErr w:type="gramEnd"/>
    </w:p>
    <w:p w:rsidR="00F5007A" w:rsidRDefault="00F5007A" w:rsidP="00031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031CD2">
        <w:rPr>
          <w:rFonts w:ascii="Times New Roman" w:hAnsi="Times New Roman" w:cs="Times New Roman"/>
          <w:bCs/>
          <w:sz w:val="22"/>
          <w:szCs w:val="22"/>
        </w:rPr>
        <w:t>Унифoрмност прoгрaмa и прoгрaмских aктивнoсти и индикатора oбeзбeђуje да ЈЛС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међусобно упoрeде трошкове и квaлитeт услугa пружeних грaђaнимa у оквиру тих прoгрaмa и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прoгрaмских aктивнoсти.</w:t>
      </w:r>
      <w:proofErr w:type="gramEnd"/>
      <w:r w:rsidRPr="00031CD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031CD2">
        <w:rPr>
          <w:rFonts w:ascii="Times New Roman" w:hAnsi="Times New Roman" w:cs="Times New Roman"/>
          <w:bCs/>
          <w:sz w:val="22"/>
          <w:szCs w:val="22"/>
        </w:rPr>
        <w:t>Taкoђe, та унифoрмност прoгрaмa и прoгрaмских aктивнoсти и њихова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усклађеност сa сeктoримa и прoгрaмимa нa цeнтрaлнoм нивoу, oмoгућуje да се спроведе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финaнсиjска aнaлиза и прaте aктивнoсти кoрисникa буџета у oдрeђeним oблaстима нa свим</w:t>
      </w:r>
      <w:r w:rsidR="00031CD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031CD2">
        <w:rPr>
          <w:rFonts w:ascii="Times New Roman" w:hAnsi="Times New Roman" w:cs="Times New Roman"/>
          <w:bCs/>
          <w:sz w:val="22"/>
          <w:szCs w:val="22"/>
        </w:rPr>
        <w:t>нивoимa влaсти.</w:t>
      </w:r>
      <w:proofErr w:type="gramEnd"/>
    </w:p>
    <w:p w:rsidR="00031CD2" w:rsidRPr="00031CD2" w:rsidRDefault="00031CD2" w:rsidP="00031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EE0B7A" w:rsidRDefault="00EE0B7A" w:rsidP="00F50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5007A" w:rsidRPr="00684658" w:rsidRDefault="00F5007A" w:rsidP="006846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684658">
        <w:rPr>
          <w:rFonts w:ascii="Times New Roman" w:hAnsi="Times New Roman" w:cs="Times New Roman"/>
          <w:b/>
          <w:bCs/>
          <w:sz w:val="22"/>
          <w:szCs w:val="22"/>
        </w:rPr>
        <w:t xml:space="preserve"> ПОСТУПАК И ДИНАМИКА ПРИПРЕМЕ БУЏЕТА </w:t>
      </w:r>
      <w:r w:rsidR="00487555" w:rsidRPr="0068465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ОПШТИНЕ</w:t>
      </w:r>
      <w:r w:rsidRPr="00684658">
        <w:rPr>
          <w:rFonts w:ascii="Times New Roman" w:hAnsi="Times New Roman" w:cs="Times New Roman"/>
          <w:b/>
          <w:bCs/>
          <w:sz w:val="22"/>
          <w:szCs w:val="22"/>
        </w:rPr>
        <w:t xml:space="preserve"> ЗА 2015. ГОДИНУ И ПРЕДЛОГА</w:t>
      </w:r>
      <w:r w:rsidR="00EE0B7A" w:rsidRPr="0068465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684658">
        <w:rPr>
          <w:rFonts w:ascii="Times New Roman" w:hAnsi="Times New Roman" w:cs="Times New Roman"/>
          <w:b/>
          <w:bCs/>
          <w:sz w:val="22"/>
          <w:szCs w:val="22"/>
        </w:rPr>
        <w:t>ФИНАНСИЈСКИХ ПЛАНОВА ДИРЕКТНИХ КОРИСНИКА</w:t>
      </w:r>
    </w:p>
    <w:p w:rsidR="00EE0B7A" w:rsidRPr="00487555" w:rsidRDefault="00EE0B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Припрема и доношење буџета јединица локалне самоуправе дефинисана је чланом 31.</w:t>
      </w:r>
      <w:proofErr w:type="gramEnd"/>
      <w:r w:rsidR="0048755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 xml:space="preserve">Закона о буџетском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систему :</w:t>
      </w:r>
      <w:proofErr w:type="gramEnd"/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 xml:space="preserve">5.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јул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– министар доставља упутство за припрему одлуке о буџету локалној власти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01.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август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– локални орган управе надлежан за финансије доставља упутство за припрему</w:t>
      </w:r>
      <w:r w:rsidR="0048755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буџета локалне власти,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 xml:space="preserve">01.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септембар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– директни корисници средстава буџета локалне власти достављају предлог</w:t>
      </w:r>
      <w:r w:rsidR="0048755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финансијског плана локалном органу управе надлежном за финансије за буџетску и наредне</w:t>
      </w:r>
      <w:r w:rsidR="0048755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две фискалне године,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 xml:space="preserve">15.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октобар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- локални орган управе надлежни за финансије доставља нацрт одлуке о буџету</w:t>
      </w:r>
      <w:r w:rsidR="0048755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надлежном извршном органу локалне власти,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 xml:space="preserve">1.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новембар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- надлежни извршни орган локалне власти доставља предлог одлуке о буџету</w:t>
      </w:r>
      <w:r w:rsidR="0048755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скупштини локалне власти,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 xml:space="preserve">20.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децембар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- скупштина локалне власти доноси одлуку о буџету локалне власти и</w:t>
      </w:r>
    </w:p>
    <w:p w:rsidR="00F5007A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>25. децембар – локални орган управе надлежан за финансије доставља министру одлуку о</w:t>
      </w:r>
      <w:r w:rsidR="0048755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 xml:space="preserve">буџету </w:t>
      </w:r>
    </w:p>
    <w:p w:rsidR="00487555" w:rsidRPr="00487555" w:rsidRDefault="00487555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7555">
        <w:rPr>
          <w:rFonts w:ascii="Times New Roman" w:hAnsi="Times New Roman" w:cs="Times New Roman"/>
          <w:b/>
          <w:bCs/>
          <w:sz w:val="22"/>
          <w:szCs w:val="22"/>
        </w:rPr>
        <w:t>VIII ЗАВРШНЕ ОДРЕДБЕ</w:t>
      </w:r>
    </w:p>
    <w:p w:rsidR="00F5007A" w:rsidRPr="00487555" w:rsidRDefault="00E21A3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Cs/>
          <w:sz w:val="22"/>
          <w:szCs w:val="22"/>
        </w:rPr>
        <w:t>Сви буџетски корисници</w:t>
      </w:r>
      <w:r w:rsidR="00F5007A" w:rsidRPr="00487555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sr-Cyrl-CS"/>
        </w:rPr>
        <w:t>Општине Владичин Хан</w:t>
      </w:r>
      <w:r w:rsidR="00F5007A" w:rsidRPr="00487555">
        <w:rPr>
          <w:rFonts w:ascii="Times New Roman" w:hAnsi="Times New Roman" w:cs="Times New Roman"/>
          <w:bCs/>
          <w:sz w:val="22"/>
          <w:szCs w:val="22"/>
        </w:rPr>
        <w:t>, имају обавезу да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F5007A" w:rsidRPr="00487555">
        <w:rPr>
          <w:rFonts w:ascii="Times New Roman" w:hAnsi="Times New Roman" w:cs="Times New Roman"/>
          <w:bCs/>
          <w:sz w:val="22"/>
          <w:szCs w:val="22"/>
        </w:rPr>
        <w:t>планирају средства за потрошњу у складу са својим надлежностима, тј.</w:t>
      </w:r>
      <w:proofErr w:type="gramEnd"/>
      <w:r w:rsidR="00F5007A" w:rsidRPr="0048755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="00F5007A" w:rsidRPr="00487555">
        <w:rPr>
          <w:rFonts w:ascii="Times New Roman" w:hAnsi="Times New Roman" w:cs="Times New Roman"/>
          <w:bCs/>
          <w:sz w:val="22"/>
          <w:szCs w:val="22"/>
        </w:rPr>
        <w:t>делокругом</w:t>
      </w:r>
      <w:proofErr w:type="gramEnd"/>
      <w:r w:rsidR="00F5007A" w:rsidRPr="00487555">
        <w:rPr>
          <w:rFonts w:ascii="Times New Roman" w:hAnsi="Times New Roman" w:cs="Times New Roman"/>
          <w:bCs/>
          <w:sz w:val="22"/>
          <w:szCs w:val="22"/>
        </w:rPr>
        <w:t xml:space="preserve"> својих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F5007A" w:rsidRPr="00487555">
        <w:rPr>
          <w:rFonts w:ascii="Times New Roman" w:hAnsi="Times New Roman" w:cs="Times New Roman"/>
          <w:bCs/>
          <w:sz w:val="22"/>
          <w:szCs w:val="22"/>
        </w:rPr>
        <w:t xml:space="preserve">активности које су прописане законским одредбама из њихове надлежности. </w:t>
      </w:r>
      <w:proofErr w:type="gramStart"/>
      <w:r w:rsidR="00F5007A" w:rsidRPr="00487555">
        <w:rPr>
          <w:rFonts w:ascii="Times New Roman" w:hAnsi="Times New Roman" w:cs="Times New Roman"/>
          <w:bCs/>
          <w:sz w:val="22"/>
          <w:szCs w:val="22"/>
        </w:rPr>
        <w:t>Исто тако, сви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F5007A" w:rsidRPr="00487555">
        <w:rPr>
          <w:rFonts w:ascii="Times New Roman" w:hAnsi="Times New Roman" w:cs="Times New Roman"/>
          <w:bCs/>
          <w:sz w:val="22"/>
          <w:szCs w:val="22"/>
        </w:rPr>
        <w:t>буџетски корисници, који имају планиране донације, у својим буџетским захтевима требају да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F5007A" w:rsidRPr="00487555">
        <w:rPr>
          <w:rFonts w:ascii="Times New Roman" w:hAnsi="Times New Roman" w:cs="Times New Roman"/>
          <w:bCs/>
          <w:sz w:val="22"/>
          <w:szCs w:val="22"/>
        </w:rPr>
        <w:t>наведу законску и другу регулативу на основу које планирају исте, те да образложе њихову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F5007A" w:rsidRPr="00487555">
        <w:rPr>
          <w:rFonts w:ascii="Times New Roman" w:hAnsi="Times New Roman" w:cs="Times New Roman"/>
          <w:bCs/>
          <w:sz w:val="22"/>
          <w:szCs w:val="22"/>
        </w:rPr>
        <w:t>намену.</w:t>
      </w:r>
      <w:proofErr w:type="gramEnd"/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Приликом планирања буџетских расхода и издатака за наредну годину неопходно би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било планирати посебне буџетске ставке у циљу планирања наменског трошења средстава из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прихода који се остварују по посебним прописима.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Уколико законске одредбе то предвиђају,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потребно је усвојити посебне програме за трошење ових средстава.</w:t>
      </w:r>
      <w:proofErr w:type="gramEnd"/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>Приходи који се остварују по посебним прописима су: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 xml:space="preserve">-накнaда за промену намене пољопривредног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земљишта ;</w:t>
      </w:r>
      <w:proofErr w:type="gramEnd"/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 xml:space="preserve">-накнада за коришћење шума и шумског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земљишта ;</w:t>
      </w:r>
      <w:proofErr w:type="gramEnd"/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>-приходи од новчаних казни за прекршаје, предвиђене прописима о безбедности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саобраћаја;</w:t>
      </w:r>
    </w:p>
    <w:p w:rsidR="00F5007A" w:rsidRPr="00B33133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487555">
        <w:rPr>
          <w:rFonts w:ascii="Times New Roman" w:hAnsi="Times New Roman" w:cs="Times New Roman"/>
          <w:bCs/>
          <w:sz w:val="22"/>
          <w:szCs w:val="22"/>
        </w:rPr>
        <w:t>-средства која се остварују од давања у закуп пољопривредног земљишта</w:t>
      </w:r>
      <w:proofErr w:type="gramStart"/>
      <w:r w:rsidR="00B33133">
        <w:rPr>
          <w:rFonts w:ascii="Times New Roman" w:hAnsi="Times New Roman" w:cs="Times New Roman"/>
          <w:bCs/>
          <w:sz w:val="22"/>
          <w:szCs w:val="22"/>
          <w:lang w:val="sr-Cyrl-CS"/>
        </w:rPr>
        <w:t>, ...</w:t>
      </w:r>
      <w:proofErr w:type="gramEnd"/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Претходно наведено односи се на одељења 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>Општин</w:t>
      </w:r>
      <w:r w:rsidRPr="00487555">
        <w:rPr>
          <w:rFonts w:ascii="Times New Roman" w:hAnsi="Times New Roman" w:cs="Times New Roman"/>
          <w:bCs/>
          <w:sz w:val="22"/>
          <w:szCs w:val="22"/>
        </w:rPr>
        <w:t>ске управе</w:t>
      </w:r>
      <w:r w:rsidR="00DB2C93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и буџетске кориснике</w:t>
      </w:r>
      <w:r w:rsidRPr="00487555">
        <w:rPr>
          <w:rFonts w:ascii="Times New Roman" w:hAnsi="Times New Roman" w:cs="Times New Roman"/>
          <w:bCs/>
          <w:sz w:val="22"/>
          <w:szCs w:val="22"/>
        </w:rPr>
        <w:t xml:space="preserve"> у чијој су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надлежности распоред и коришћење средстава по посебним програмима коришћења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наменских средстава односно прихода који се остварују по посебним прописима, као и остали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буџетски корисници који остварују приходе по посебним законским прописима и исте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реализују по посебним програмима.</w:t>
      </w:r>
      <w:proofErr w:type="gramEnd"/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Приликом планирања буџета, сви буџетски корисници су дужни да се придржавају начела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рационалности и штедње.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У оквиру ограничених средстава, буџетски корисници као приоритет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треба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да планирају законске и уговорене обавезе (плате, накнаде, закључене уговоре, преузете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обавезе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и сл.). Нарочито скрећемо пажњу да је због реалног, истинитог и суштински исправног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планирања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активности свих корисника буџета 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>Општине Владичин Хан</w:t>
      </w:r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потребно да се у буџетском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захтеву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ставке расхода детаљно писмено образложе, како би буџет 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>Општине</w:t>
      </w:r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за 2015.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наредне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две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године био усклађен са „Правилником о стандардном класификационом оквиру и Контном</w:t>
      </w:r>
    </w:p>
    <w:p w:rsidR="00F5007A" w:rsidRPr="00487555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плану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за буџетски систем ("Сл. гласник Републике Србије", бр. 103/11, 10/12, 18/12, 95/12,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99/12, 22/13, 48/13, 61/13 и 63/13-исправка, 106/13, 120/13, 20/14 и 64/14).</w:t>
      </w:r>
    </w:p>
    <w:p w:rsidR="00F5007A" w:rsidRDefault="00F5007A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Сви буџетски корисници, дужни су да доставе захтеве за буџетским средствима за 2015.</w:t>
      </w:r>
      <w:proofErr w:type="gramEnd"/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и</w:t>
      </w:r>
      <w:proofErr w:type="gramEnd"/>
      <w:r w:rsidRPr="00487555">
        <w:rPr>
          <w:rFonts w:ascii="Times New Roman" w:hAnsi="Times New Roman" w:cs="Times New Roman"/>
          <w:bCs/>
          <w:sz w:val="22"/>
          <w:szCs w:val="22"/>
        </w:rPr>
        <w:t xml:space="preserve"> наредне две године годину на начин предвиђен овим Упутством. За непоштовање буџетских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>ограничења и садржаја буџетског захтева, као и рокова за израду и достављање захтева,</w:t>
      </w:r>
      <w:r w:rsidR="00350F5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487555">
        <w:rPr>
          <w:rFonts w:ascii="Times New Roman" w:hAnsi="Times New Roman" w:cs="Times New Roman"/>
          <w:bCs/>
          <w:sz w:val="22"/>
          <w:szCs w:val="22"/>
        </w:rPr>
        <w:t xml:space="preserve">предвиђене су санкције у складу са чланом 103. </w:t>
      </w:r>
      <w:proofErr w:type="gramStart"/>
      <w:r w:rsidRPr="00487555">
        <w:rPr>
          <w:rFonts w:ascii="Times New Roman" w:hAnsi="Times New Roman" w:cs="Times New Roman"/>
          <w:bCs/>
          <w:sz w:val="22"/>
          <w:szCs w:val="22"/>
        </w:rPr>
        <w:t>Закона о буџетском систему.</w:t>
      </w:r>
      <w:proofErr w:type="gramEnd"/>
    </w:p>
    <w:p w:rsidR="00026F9D" w:rsidRPr="00026F9D" w:rsidRDefault="00DB2C93" w:rsidP="0048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Обзиром на кашњење у давању конкретних инструкција за израду буџета локалних власти од стране нивоа државе, рок  за доставу захтева – финансијских планова </w:t>
      </w:r>
      <w:r w:rsidRPr="00DB2C93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помера се до 10.1</w:t>
      </w:r>
      <w:r w:rsidR="0071267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1</w:t>
      </w:r>
      <w:r w:rsidRPr="00DB2C93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.2014</w:t>
      </w:r>
      <w:r>
        <w:rPr>
          <w:rFonts w:ascii="Times New Roman" w:hAnsi="Times New Roman" w:cs="Times New Roman"/>
          <w:bCs/>
          <w:sz w:val="22"/>
          <w:szCs w:val="22"/>
          <w:lang w:val="sr-Cyrl-CS"/>
        </w:rPr>
        <w:t>.</w:t>
      </w:r>
    </w:p>
    <w:p w:rsidR="00B33133" w:rsidRDefault="00B33133" w:rsidP="00B33133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CC04C2" w:rsidRDefault="00350F59" w:rsidP="00B33133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Руководилац Одељења за финансије и привреду Општинске управе Владичин Хан</w:t>
      </w:r>
    </w:p>
    <w:p w:rsidR="00350F59" w:rsidRPr="00350F59" w:rsidRDefault="00350F59" w:rsidP="00B33133">
      <w:pPr>
        <w:spacing w:after="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Бранка Милосављевић</w:t>
      </w:r>
    </w:p>
    <w:sectPr w:rsidR="00350F59" w:rsidRPr="00350F59" w:rsidSect="00CC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9F3"/>
    <w:multiLevelType w:val="hybridMultilevel"/>
    <w:tmpl w:val="44561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1CE0"/>
    <w:multiLevelType w:val="hybridMultilevel"/>
    <w:tmpl w:val="6A0E157E"/>
    <w:lvl w:ilvl="0" w:tplc="32D204D2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564B0"/>
    <w:multiLevelType w:val="hybridMultilevel"/>
    <w:tmpl w:val="09A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85D41"/>
    <w:multiLevelType w:val="hybridMultilevel"/>
    <w:tmpl w:val="C4D0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50CEC"/>
    <w:multiLevelType w:val="hybridMultilevel"/>
    <w:tmpl w:val="D166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965D9"/>
    <w:multiLevelType w:val="hybridMultilevel"/>
    <w:tmpl w:val="03D4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6362C"/>
    <w:multiLevelType w:val="hybridMultilevel"/>
    <w:tmpl w:val="4C8AC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143E9"/>
    <w:multiLevelType w:val="hybridMultilevel"/>
    <w:tmpl w:val="6D5284EE"/>
    <w:lvl w:ilvl="0" w:tplc="7A22D01C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5007A"/>
    <w:rsid w:val="00011EBF"/>
    <w:rsid w:val="0001727A"/>
    <w:rsid w:val="00026F9D"/>
    <w:rsid w:val="00031CD2"/>
    <w:rsid w:val="00056C88"/>
    <w:rsid w:val="00064610"/>
    <w:rsid w:val="0009748A"/>
    <w:rsid w:val="000D00D9"/>
    <w:rsid w:val="000D30B0"/>
    <w:rsid w:val="000F0035"/>
    <w:rsid w:val="00100026"/>
    <w:rsid w:val="00147D5E"/>
    <w:rsid w:val="00177BBE"/>
    <w:rsid w:val="001877CB"/>
    <w:rsid w:val="00190EFC"/>
    <w:rsid w:val="001A267E"/>
    <w:rsid w:val="001E3E27"/>
    <w:rsid w:val="00231140"/>
    <w:rsid w:val="00233659"/>
    <w:rsid w:val="00235B73"/>
    <w:rsid w:val="002764A0"/>
    <w:rsid w:val="00291ED8"/>
    <w:rsid w:val="00293751"/>
    <w:rsid w:val="00294CB2"/>
    <w:rsid w:val="0029750F"/>
    <w:rsid w:val="002A03EC"/>
    <w:rsid w:val="002E510D"/>
    <w:rsid w:val="002E69FA"/>
    <w:rsid w:val="00306A1E"/>
    <w:rsid w:val="00350F59"/>
    <w:rsid w:val="0036669D"/>
    <w:rsid w:val="0037398C"/>
    <w:rsid w:val="003A1FD0"/>
    <w:rsid w:val="003B0A07"/>
    <w:rsid w:val="003D6F5C"/>
    <w:rsid w:val="004045FA"/>
    <w:rsid w:val="00441D11"/>
    <w:rsid w:val="00457EFF"/>
    <w:rsid w:val="00466294"/>
    <w:rsid w:val="00487555"/>
    <w:rsid w:val="004C0CFF"/>
    <w:rsid w:val="004F37E9"/>
    <w:rsid w:val="00504638"/>
    <w:rsid w:val="00513EFD"/>
    <w:rsid w:val="00514EC9"/>
    <w:rsid w:val="00515F62"/>
    <w:rsid w:val="00551369"/>
    <w:rsid w:val="00560FFC"/>
    <w:rsid w:val="005A0A2C"/>
    <w:rsid w:val="005E3EA4"/>
    <w:rsid w:val="006069EE"/>
    <w:rsid w:val="0062473D"/>
    <w:rsid w:val="00644035"/>
    <w:rsid w:val="00676970"/>
    <w:rsid w:val="00684658"/>
    <w:rsid w:val="0069139A"/>
    <w:rsid w:val="006C5273"/>
    <w:rsid w:val="006F4B6F"/>
    <w:rsid w:val="00712678"/>
    <w:rsid w:val="00715713"/>
    <w:rsid w:val="00722645"/>
    <w:rsid w:val="007419F9"/>
    <w:rsid w:val="00754AD7"/>
    <w:rsid w:val="007A169A"/>
    <w:rsid w:val="007F26CC"/>
    <w:rsid w:val="00865F1D"/>
    <w:rsid w:val="00874CD4"/>
    <w:rsid w:val="00882D38"/>
    <w:rsid w:val="008A79CA"/>
    <w:rsid w:val="008E25BD"/>
    <w:rsid w:val="009468E2"/>
    <w:rsid w:val="00976DC6"/>
    <w:rsid w:val="009A18F0"/>
    <w:rsid w:val="009B3491"/>
    <w:rsid w:val="009E589C"/>
    <w:rsid w:val="00A02D90"/>
    <w:rsid w:val="00A41E89"/>
    <w:rsid w:val="00A8207A"/>
    <w:rsid w:val="00A93495"/>
    <w:rsid w:val="00A94D5D"/>
    <w:rsid w:val="00AD44D1"/>
    <w:rsid w:val="00B17149"/>
    <w:rsid w:val="00B33133"/>
    <w:rsid w:val="00B7170E"/>
    <w:rsid w:val="00B8634A"/>
    <w:rsid w:val="00BD7F88"/>
    <w:rsid w:val="00BE5814"/>
    <w:rsid w:val="00C02C61"/>
    <w:rsid w:val="00C207E6"/>
    <w:rsid w:val="00C57B50"/>
    <w:rsid w:val="00C620FE"/>
    <w:rsid w:val="00CC04C2"/>
    <w:rsid w:val="00CF4B15"/>
    <w:rsid w:val="00D16CF9"/>
    <w:rsid w:val="00D51341"/>
    <w:rsid w:val="00D51587"/>
    <w:rsid w:val="00D62C9F"/>
    <w:rsid w:val="00D71E98"/>
    <w:rsid w:val="00DA45B4"/>
    <w:rsid w:val="00DB2C93"/>
    <w:rsid w:val="00DC1741"/>
    <w:rsid w:val="00DD221E"/>
    <w:rsid w:val="00DE18AA"/>
    <w:rsid w:val="00E06FB0"/>
    <w:rsid w:val="00E21A3A"/>
    <w:rsid w:val="00E44FD4"/>
    <w:rsid w:val="00E47393"/>
    <w:rsid w:val="00E55AAF"/>
    <w:rsid w:val="00E857AB"/>
    <w:rsid w:val="00EA15F9"/>
    <w:rsid w:val="00EA39C1"/>
    <w:rsid w:val="00EE0B7A"/>
    <w:rsid w:val="00EE302F"/>
    <w:rsid w:val="00EF12AC"/>
    <w:rsid w:val="00EF183A"/>
    <w:rsid w:val="00EF6C54"/>
    <w:rsid w:val="00F019A8"/>
    <w:rsid w:val="00F244A3"/>
    <w:rsid w:val="00F308E1"/>
    <w:rsid w:val="00F5007A"/>
    <w:rsid w:val="00F53CE3"/>
    <w:rsid w:val="00F70269"/>
    <w:rsid w:val="00FB259A"/>
    <w:rsid w:val="00FC2A14"/>
    <w:rsid w:val="00FC40E2"/>
    <w:rsid w:val="00FE0069"/>
    <w:rsid w:val="00FF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7E6"/>
    <w:pPr>
      <w:ind w:left="720"/>
      <w:contextualSpacing/>
    </w:pPr>
  </w:style>
  <w:style w:type="table" w:styleId="TableGrid">
    <w:name w:val="Table Grid"/>
    <w:basedOn w:val="TableNormal"/>
    <w:uiPriority w:val="59"/>
    <w:rsid w:val="00DD2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F70B-1B8B-4A17-BFDD-0E275297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17</Pages>
  <Words>7732</Words>
  <Characters>44079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51708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REDCROSS2</dc:creator>
  <cp:keywords/>
  <dc:description/>
  <cp:lastModifiedBy>REDCROSS2</cp:lastModifiedBy>
  <cp:revision>110</cp:revision>
  <cp:lastPrinted>2014-10-15T08:02:00Z</cp:lastPrinted>
  <dcterms:created xsi:type="dcterms:W3CDTF">2014-08-25T11:17:00Z</dcterms:created>
  <dcterms:modified xsi:type="dcterms:W3CDTF">2014-10-15T09:28:00Z</dcterms:modified>
</cp:coreProperties>
</file>